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2C805D35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B614F1">
        <w:rPr>
          <w:rFonts w:ascii="Calibri" w:hAnsi="Calibri" w:cs="Calibri"/>
          <w:color w:val="auto"/>
        </w:rPr>
        <w:t xml:space="preserve">29 gennaio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1D6CA360" w14:textId="51A11A72" w:rsidR="00B614F1" w:rsidRPr="00B614F1" w:rsidRDefault="00B614F1" w:rsidP="00B614F1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B614F1">
        <w:rPr>
          <w:rFonts w:ascii="Calibri" w:hAnsi="Calibri" w:cs="Calibri"/>
          <w:b/>
          <w:bCs/>
          <w:color w:val="002465"/>
          <w:sz w:val="32"/>
          <w:szCs w:val="24"/>
        </w:rPr>
        <w:t xml:space="preserve">Cambiamento climatico, riduzione delle emissioni e COP 30 di Belém: incontro pubblico </w:t>
      </w:r>
      <w:r w:rsidRPr="00B614F1">
        <w:rPr>
          <w:rFonts w:ascii="Calibri" w:hAnsi="Calibri" w:cs="Calibri"/>
          <w:b/>
          <w:bCs/>
          <w:color w:val="002465"/>
          <w:sz w:val="32"/>
          <w:szCs w:val="24"/>
        </w:rPr>
        <w:t>domani</w:t>
      </w:r>
      <w:r>
        <w:rPr>
          <w:rFonts w:ascii="Calibri" w:hAnsi="Calibri" w:cs="Calibri"/>
          <w:b/>
          <w:bCs/>
          <w:color w:val="002465"/>
          <w:sz w:val="32"/>
          <w:szCs w:val="24"/>
        </w:rPr>
        <w:t xml:space="preserve"> </w:t>
      </w:r>
      <w:r w:rsidRPr="00B614F1">
        <w:rPr>
          <w:rFonts w:ascii="Calibri" w:hAnsi="Calibri" w:cs="Calibri"/>
          <w:b/>
          <w:bCs/>
          <w:color w:val="002465"/>
          <w:sz w:val="32"/>
          <w:szCs w:val="24"/>
        </w:rPr>
        <w:t>a Trento (</w:t>
      </w:r>
      <w:proofErr w:type="spellStart"/>
      <w:r w:rsidRPr="00B614F1">
        <w:rPr>
          <w:rFonts w:ascii="Calibri" w:hAnsi="Calibri" w:cs="Calibri"/>
          <w:b/>
          <w:bCs/>
          <w:color w:val="002465"/>
          <w:sz w:val="32"/>
          <w:szCs w:val="24"/>
        </w:rPr>
        <w:t>Vigilianum</w:t>
      </w:r>
      <w:proofErr w:type="spellEnd"/>
      <w:r w:rsidRPr="00B614F1">
        <w:rPr>
          <w:rFonts w:ascii="Calibri" w:hAnsi="Calibri" w:cs="Calibri"/>
          <w:b/>
          <w:bCs/>
          <w:color w:val="002465"/>
          <w:sz w:val="32"/>
          <w:szCs w:val="24"/>
        </w:rPr>
        <w:t>)</w:t>
      </w:r>
    </w:p>
    <w:p w14:paraId="2703FFA9" w14:textId="77777777" w:rsidR="00B614F1" w:rsidRPr="00B06DF6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12"/>
          <w:szCs w:val="12"/>
        </w:rPr>
      </w:pPr>
    </w:p>
    <w:p w14:paraId="5BB55BDA" w14:textId="4A6F32FD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Cambiamento climatico e misure di contrasto, a cominciare dalla riduzione delle emissioni, alla luce degli esiti della recente COP 30 di Belém, in Brasile: saranno questi i temi principali al centro dell’incontro pubblico in programma 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 xml:space="preserve">domani, 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venerdì 30 gennaio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 xml:space="preserve">, 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 xml:space="preserve">alle ore 18.00, presso l’aula magna del Polo culturale </w:t>
      </w:r>
      <w:proofErr w:type="spellStart"/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Vigilianum</w:t>
      </w:r>
      <w:proofErr w:type="spellEnd"/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 xml:space="preserve"> di Trento, per iniziativa dell’Arcidiocesi di Trento, attraverso l’Area Testimonianza e Impegno sociale e la Rete diocesana per la custodia del Creato, in collaborazione con l’associazione </w:t>
      </w:r>
      <w:proofErr w:type="spellStart"/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Viração&amp;Jangada</w:t>
      </w:r>
      <w:proofErr w:type="spellEnd"/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.</w:t>
      </w:r>
    </w:p>
    <w:p w14:paraId="09CBADB5" w14:textId="77777777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614F1">
        <w:rPr>
          <w:rFonts w:ascii="Calibri" w:hAnsi="Calibri" w:cs="Calibri"/>
          <w:color w:val="auto"/>
          <w:sz w:val="26"/>
          <w:szCs w:val="26"/>
        </w:rPr>
        <w:t>All’incontro, dal titolo “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 xml:space="preserve">Clima, </w:t>
      </w:r>
      <w:proofErr w:type="spellStart"/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Cop</w:t>
      </w:r>
      <w:proofErr w:type="spellEnd"/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 xml:space="preserve"> 30 e territori: sguardi dal Brasile al Trentino</w:t>
      </w:r>
      <w:r w:rsidRPr="00B614F1">
        <w:rPr>
          <w:rFonts w:ascii="Calibri" w:hAnsi="Calibri" w:cs="Calibri"/>
          <w:color w:val="auto"/>
          <w:sz w:val="26"/>
          <w:szCs w:val="26"/>
        </w:rPr>
        <w:t>” interverranno 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p. Dario Bossi</w:t>
      </w:r>
      <w:r w:rsidRPr="00B614F1">
        <w:rPr>
          <w:rFonts w:ascii="Calibri" w:hAnsi="Calibri" w:cs="Calibri"/>
          <w:color w:val="auto"/>
          <w:sz w:val="26"/>
          <w:szCs w:val="26"/>
        </w:rPr>
        <w:t>, missionario in Brasile, </w:t>
      </w:r>
      <w:proofErr w:type="spellStart"/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l’ing</w:t>
      </w:r>
      <w:proofErr w:type="spellEnd"/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. Lavinia Laiti</w:t>
      </w:r>
      <w:r w:rsidRPr="00B614F1">
        <w:rPr>
          <w:rFonts w:ascii="Calibri" w:hAnsi="Calibri" w:cs="Calibri"/>
          <w:color w:val="auto"/>
          <w:sz w:val="26"/>
          <w:szCs w:val="26"/>
        </w:rPr>
        <w:t> dell’Agenzia per la Protezione dell’Ambiente della Provincia autonoma di Trento, e due giovani trentine – 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Eleonora Zomer</w:t>
      </w:r>
      <w:r w:rsidRPr="00B614F1">
        <w:rPr>
          <w:rFonts w:ascii="Calibri" w:hAnsi="Calibri" w:cs="Calibri"/>
          <w:color w:val="auto"/>
          <w:sz w:val="26"/>
          <w:szCs w:val="26"/>
        </w:rPr>
        <w:t> e 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Allegra Zaia</w:t>
      </w:r>
      <w:r w:rsidRPr="00B614F1">
        <w:rPr>
          <w:rFonts w:ascii="Calibri" w:hAnsi="Calibri" w:cs="Calibri"/>
          <w:color w:val="auto"/>
          <w:sz w:val="26"/>
          <w:szCs w:val="26"/>
        </w:rPr>
        <w:t> – che hanno partecipato al progetto “</w:t>
      </w:r>
      <w:r w:rsidRPr="00B614F1">
        <w:rPr>
          <w:rFonts w:ascii="Calibri" w:hAnsi="Calibri" w:cs="Calibri"/>
          <w:b/>
          <w:bCs/>
          <w:color w:val="auto"/>
          <w:sz w:val="26"/>
          <w:szCs w:val="26"/>
        </w:rPr>
        <w:t>Racconta il Clima: la COP30 in Brasile</w:t>
      </w:r>
      <w:r w:rsidRPr="00B614F1">
        <w:rPr>
          <w:rFonts w:ascii="Calibri" w:hAnsi="Calibri" w:cs="Calibri"/>
          <w:color w:val="auto"/>
          <w:sz w:val="26"/>
          <w:szCs w:val="26"/>
        </w:rPr>
        <w:t>” e che porteranno una testimonianza diretta dell’esperienza vissuta a Belém.</w:t>
      </w:r>
    </w:p>
    <w:p w14:paraId="65D3BAD7" w14:textId="77777777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B614F1">
        <w:rPr>
          <w:rFonts w:ascii="Calibri" w:hAnsi="Calibri" w:cs="Calibri"/>
          <w:b/>
          <w:bCs/>
          <w:color w:val="002465"/>
          <w:sz w:val="28"/>
          <w:szCs w:val="28"/>
        </w:rPr>
        <w:t>Il significato della COP di Belém</w:t>
      </w:r>
    </w:p>
    <w:p w14:paraId="06B3ABE4" w14:textId="77777777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614F1">
        <w:rPr>
          <w:rFonts w:ascii="Calibri" w:hAnsi="Calibri" w:cs="Calibri"/>
          <w:color w:val="auto"/>
          <w:sz w:val="26"/>
          <w:szCs w:val="26"/>
        </w:rPr>
        <w:t>Quella di Belém è stata una Conferenza delle Parti particolarmente significativa: a dieci anni dallo storico Accordo di Parigi e dall’Enciclica </w:t>
      </w:r>
      <w:r w:rsidRPr="00B614F1">
        <w:rPr>
          <w:rFonts w:ascii="Calibri" w:hAnsi="Calibri" w:cs="Calibri"/>
          <w:i/>
          <w:iCs/>
          <w:color w:val="auto"/>
          <w:sz w:val="26"/>
          <w:szCs w:val="26"/>
        </w:rPr>
        <w:t xml:space="preserve">Laudato </w:t>
      </w:r>
      <w:proofErr w:type="spellStart"/>
      <w:r w:rsidRPr="00B614F1">
        <w:rPr>
          <w:rFonts w:ascii="Calibri" w:hAnsi="Calibri" w:cs="Calibri"/>
          <w:i/>
          <w:iCs/>
          <w:color w:val="auto"/>
          <w:sz w:val="26"/>
          <w:szCs w:val="26"/>
        </w:rPr>
        <w:t>si’</w:t>
      </w:r>
      <w:proofErr w:type="spellEnd"/>
      <w:r w:rsidRPr="00B614F1">
        <w:rPr>
          <w:rFonts w:ascii="Calibri" w:hAnsi="Calibri" w:cs="Calibri"/>
          <w:color w:val="auto"/>
          <w:sz w:val="26"/>
          <w:szCs w:val="26"/>
        </w:rPr>
        <w:t>, si è svolta in un Paese chiave del Sud del mondo, nella regione amazzonica, richiamando idealmente la grande Conferenza sull’ambiente di Rio del 1992.</w:t>
      </w:r>
    </w:p>
    <w:p w14:paraId="3D24852D" w14:textId="77777777" w:rsid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614F1">
        <w:rPr>
          <w:rFonts w:ascii="Calibri" w:hAnsi="Calibri" w:cs="Calibri"/>
          <w:color w:val="auto"/>
          <w:sz w:val="26"/>
          <w:szCs w:val="26"/>
        </w:rPr>
        <w:t>Dal punto di vista dei risultati negoziali, tuttavia, l’esito è stato giudicato da molti osservatori deludente. L’assenza degli Stati Uniti, che hanno annunciato il ritiro dalla Conferenza, e il contesto internazionale segnato da numerosi conflitti armati hanno contribuito a un accordo complessivamente insufficiente rispetto alla gravità della crisi climatica.</w:t>
      </w:r>
    </w:p>
    <w:p w14:paraId="746DD47D" w14:textId="77777777" w:rsid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</w:p>
    <w:p w14:paraId="6D9FC84A" w14:textId="5F73B183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B614F1">
        <w:rPr>
          <w:rFonts w:ascii="Calibri" w:hAnsi="Calibri" w:cs="Calibri"/>
          <w:b/>
          <w:bCs/>
          <w:color w:val="002465"/>
          <w:sz w:val="28"/>
          <w:szCs w:val="28"/>
        </w:rPr>
        <w:lastRenderedPageBreak/>
        <w:t>La “Cupola dei Popoli” e la partecipazione della società civile</w:t>
      </w:r>
    </w:p>
    <w:p w14:paraId="25D3B4D2" w14:textId="3AA67361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614F1">
        <w:rPr>
          <w:rFonts w:ascii="Calibri" w:hAnsi="Calibri" w:cs="Calibri"/>
          <w:color w:val="auto"/>
          <w:sz w:val="26"/>
          <w:szCs w:val="26"/>
        </w:rPr>
        <w:t xml:space="preserve">La COP di Belém non è stata però solo la sede dei negoziati tra i rappresentanti degli Stati. In parallelo si è svolta la “Cupola dei Popoli”, un grande evento che ha riunito circa 26 mila rappresentanti di movimenti sociali, popolazioni indigene (accanto, nella foto Ansa/Sir gli indigeni </w:t>
      </w:r>
      <w:proofErr w:type="spellStart"/>
      <w:r w:rsidRPr="00B614F1">
        <w:rPr>
          <w:rFonts w:ascii="Calibri" w:hAnsi="Calibri" w:cs="Calibri"/>
          <w:color w:val="auto"/>
          <w:sz w:val="26"/>
          <w:szCs w:val="26"/>
        </w:rPr>
        <w:t>Pataxo</w:t>
      </w:r>
      <w:proofErr w:type="spellEnd"/>
      <w:r w:rsidRPr="00B614F1">
        <w:rPr>
          <w:rFonts w:ascii="Calibri" w:hAnsi="Calibri" w:cs="Calibri"/>
          <w:color w:val="auto"/>
          <w:sz w:val="26"/>
          <w:szCs w:val="26"/>
        </w:rPr>
        <w:t>), attivisti e lavoratori, offrendo uno spazio di denuncia dei ritardi dei negoziati ufficiali e di proposta di soluzioni dal basso, con un forte richiamo alla giustizia climatica, alla tutela dei territori e a una transizione energetica più rapida. In questo contesto sono stati presentati oltre 2.000 </w:t>
      </w:r>
      <w:r w:rsidRPr="00B614F1">
        <w:rPr>
          <w:rFonts w:ascii="Calibri" w:hAnsi="Calibri" w:cs="Calibri"/>
          <w:i/>
          <w:iCs/>
          <w:color w:val="auto"/>
          <w:sz w:val="26"/>
          <w:szCs w:val="26"/>
        </w:rPr>
        <w:t xml:space="preserve">People </w:t>
      </w:r>
      <w:r w:rsidRPr="00B614F1">
        <w:rPr>
          <w:rFonts w:ascii="Calibri" w:hAnsi="Calibri" w:cs="Calibri"/>
          <w:i/>
          <w:iCs/>
          <w:color w:val="auto"/>
          <w:sz w:val="26"/>
          <w:szCs w:val="26"/>
        </w:rPr>
        <w:t>Determine</w:t>
      </w:r>
      <w:r w:rsidRPr="00B614F1">
        <w:rPr>
          <w:rFonts w:ascii="Calibri" w:hAnsi="Calibri" w:cs="Calibri"/>
          <w:i/>
          <w:iCs/>
          <w:color w:val="auto"/>
          <w:sz w:val="26"/>
          <w:szCs w:val="26"/>
        </w:rPr>
        <w:t xml:space="preserve"> </w:t>
      </w:r>
      <w:proofErr w:type="spellStart"/>
      <w:r w:rsidRPr="00B614F1">
        <w:rPr>
          <w:rFonts w:ascii="Calibri" w:hAnsi="Calibri" w:cs="Calibri"/>
          <w:i/>
          <w:iCs/>
          <w:color w:val="auto"/>
          <w:sz w:val="26"/>
          <w:szCs w:val="26"/>
        </w:rPr>
        <w:t>Contributions</w:t>
      </w:r>
      <w:proofErr w:type="spellEnd"/>
      <w:r w:rsidRPr="00B614F1">
        <w:rPr>
          <w:rFonts w:ascii="Calibri" w:hAnsi="Calibri" w:cs="Calibri"/>
          <w:color w:val="auto"/>
          <w:sz w:val="26"/>
          <w:szCs w:val="26"/>
        </w:rPr>
        <w:t>, impegni assunti da associazioni, istituzioni e gruppi sociali, con l’obiettivo di rafforzare e integrare questo meccanismo all’interno dei processi delle COP.</w:t>
      </w:r>
    </w:p>
    <w:p w14:paraId="45CCB288" w14:textId="77777777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B614F1">
        <w:rPr>
          <w:rFonts w:ascii="Calibri" w:hAnsi="Calibri" w:cs="Calibri"/>
          <w:b/>
          <w:bCs/>
          <w:color w:val="002465"/>
          <w:sz w:val="28"/>
          <w:szCs w:val="28"/>
        </w:rPr>
        <w:t>Transizione energetica: dati e prospettive</w:t>
      </w:r>
    </w:p>
    <w:p w14:paraId="58E9E7DE" w14:textId="77777777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614F1">
        <w:rPr>
          <w:rFonts w:ascii="Calibri" w:hAnsi="Calibri" w:cs="Calibri"/>
          <w:color w:val="auto"/>
          <w:sz w:val="26"/>
          <w:szCs w:val="26"/>
        </w:rPr>
        <w:t>Sul fronte energetico, i dati mostrano una trasformazione già in atto: nel 2025 fotovoltaico ed eolico hanno prodotto più energia elettrica del carbone e hanno rappresentato oltre il 90% della nuova capacità installata a livello globale. La rivista scientifica </w:t>
      </w:r>
      <w:r w:rsidRPr="00B614F1">
        <w:rPr>
          <w:rFonts w:ascii="Calibri" w:hAnsi="Calibri" w:cs="Calibri"/>
          <w:i/>
          <w:iCs/>
          <w:color w:val="auto"/>
          <w:sz w:val="26"/>
          <w:szCs w:val="26"/>
        </w:rPr>
        <w:t>Science</w:t>
      </w:r>
      <w:r w:rsidRPr="00B614F1">
        <w:rPr>
          <w:rFonts w:ascii="Calibri" w:hAnsi="Calibri" w:cs="Calibri"/>
          <w:color w:val="auto"/>
          <w:sz w:val="26"/>
          <w:szCs w:val="26"/>
        </w:rPr>
        <w:t> ha parlato di una svolta tecnologica ormai avvenuta, indicando elettrificazione ed energie rinnovabili come il percorso principale verso il futuro e la sostenibilità.</w:t>
      </w:r>
    </w:p>
    <w:p w14:paraId="20710F09" w14:textId="77777777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b/>
          <w:bCs/>
          <w:color w:val="002465"/>
          <w:sz w:val="28"/>
          <w:szCs w:val="28"/>
        </w:rPr>
      </w:pPr>
      <w:r w:rsidRPr="00B614F1">
        <w:rPr>
          <w:rFonts w:ascii="Calibri" w:hAnsi="Calibri" w:cs="Calibri"/>
          <w:b/>
          <w:bCs/>
          <w:color w:val="002465"/>
          <w:sz w:val="28"/>
          <w:szCs w:val="28"/>
        </w:rPr>
        <w:t>Il contributo della Chiesa</w:t>
      </w:r>
    </w:p>
    <w:p w14:paraId="2C5A8883" w14:textId="1EA53143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614F1">
        <w:rPr>
          <w:rFonts w:ascii="Calibri" w:hAnsi="Calibri" w:cs="Calibri"/>
          <w:color w:val="auto"/>
          <w:sz w:val="26"/>
          <w:szCs w:val="26"/>
        </w:rPr>
        <w:t>Anche la Chiesa ha partecipato attivamente alla preparazione e allo svolgimento della COP di Belém, con un documento congiunto delle Chiese di Africa, America Latina e Asia che sollecita il riconoscimento del debito ecologico e una maggiore solidarietà tra i Paesi del Nord e del Sud globale, chiedendo impegni concreti a favore delle popolazioni più colpite dagli effetti della crisi climatica. A Belém è stato inoltre presentato il Trattato di Non Proliferazione dei Combustibili Fossili, che ha raccolto l’adesione di migliaia di organizzazioni, istituzioni, scienziati e premi Nobel in tutto il mondo.</w:t>
      </w:r>
      <w:r>
        <w:rPr>
          <w:rFonts w:ascii="Calibri" w:hAnsi="Calibri" w:cs="Calibri"/>
          <w:color w:val="auto"/>
          <w:sz w:val="26"/>
          <w:szCs w:val="26"/>
        </w:rPr>
        <w:t xml:space="preserve"> </w:t>
      </w:r>
    </w:p>
    <w:p w14:paraId="031E3F71" w14:textId="4E936644" w:rsidR="00B614F1" w:rsidRPr="00B614F1" w:rsidRDefault="00B614F1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B614F1">
        <w:rPr>
          <w:rFonts w:ascii="Calibri" w:hAnsi="Calibri" w:cs="Calibri"/>
          <w:color w:val="auto"/>
          <w:sz w:val="26"/>
          <w:szCs w:val="26"/>
        </w:rPr>
        <w:t>L’incontro di venerdì 30 gennaio è aperto a tutti.</w:t>
      </w:r>
    </w:p>
    <w:p w14:paraId="6253BC0B" w14:textId="77777777" w:rsidR="00B2086D" w:rsidRPr="00B614F1" w:rsidRDefault="00B2086D" w:rsidP="00B614F1">
      <w:pPr>
        <w:spacing w:before="120"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B2086D" w:rsidRPr="00B614F1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C710" w14:textId="77777777" w:rsidR="005402CA" w:rsidRDefault="005402CA" w:rsidP="00A66B18">
      <w:pPr>
        <w:spacing w:before="0" w:after="0"/>
      </w:pPr>
      <w:r>
        <w:separator/>
      </w:r>
    </w:p>
  </w:endnote>
  <w:endnote w:type="continuationSeparator" w:id="0">
    <w:p w14:paraId="0ED40AE6" w14:textId="77777777" w:rsidR="005402CA" w:rsidRDefault="005402C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6370" w14:textId="77777777" w:rsidR="005402CA" w:rsidRDefault="005402CA" w:rsidP="00A66B18">
      <w:pPr>
        <w:spacing w:before="0" w:after="0"/>
      </w:pPr>
      <w:r>
        <w:separator/>
      </w:r>
    </w:p>
  </w:footnote>
  <w:footnote w:type="continuationSeparator" w:id="0">
    <w:p w14:paraId="6467913B" w14:textId="77777777" w:rsidR="005402CA" w:rsidRDefault="005402C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4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02CA"/>
    <w:rsid w:val="00543614"/>
    <w:rsid w:val="005478A7"/>
    <w:rsid w:val="00552D4B"/>
    <w:rsid w:val="005550DE"/>
    <w:rsid w:val="00581590"/>
    <w:rsid w:val="005818F1"/>
    <w:rsid w:val="005865E5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667B6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06DF6"/>
    <w:rsid w:val="00B1783C"/>
    <w:rsid w:val="00B2086D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614F1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12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3</cp:revision>
  <cp:lastPrinted>2026-01-29T08:22:00Z</cp:lastPrinted>
  <dcterms:created xsi:type="dcterms:W3CDTF">2026-01-29T08:22:00Z</dcterms:created>
  <dcterms:modified xsi:type="dcterms:W3CDTF">2026-01-29T08:25:00Z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