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4D9D887C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345EF1">
        <w:rPr>
          <w:rFonts w:ascii="Calibri" w:hAnsi="Calibri" w:cs="Calibri"/>
          <w:color w:val="auto"/>
          <w:sz w:val="20"/>
        </w:rPr>
        <w:t>14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6854B3">
        <w:rPr>
          <w:rFonts w:ascii="Calibri" w:hAnsi="Calibri" w:cs="Calibri"/>
          <w:color w:val="auto"/>
          <w:sz w:val="20"/>
        </w:rPr>
        <w:t xml:space="preserve">dicembre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4BEEF774" w14:textId="77777777" w:rsidR="00345EF1" w:rsidRDefault="00345EF1" w:rsidP="00345EF1">
      <w:pPr>
        <w:spacing w:before="0" w:after="0"/>
        <w:ind w:left="0" w:right="0"/>
        <w:jc w:val="both"/>
        <w:rPr>
          <w:rFonts w:ascii="Calibri" w:eastAsia="Calibri" w:hAnsi="Calibri" w:cs="Times New Roman"/>
          <w:b/>
          <w:bCs/>
          <w:color w:val="002060"/>
          <w:kern w:val="0"/>
          <w:sz w:val="26"/>
          <w:szCs w:val="26"/>
          <w:lang w:eastAsia="en-US"/>
        </w:rPr>
      </w:pPr>
    </w:p>
    <w:p w14:paraId="11D2FE9F" w14:textId="546082D5" w:rsidR="00345EF1" w:rsidRPr="00345EF1" w:rsidRDefault="00345EF1" w:rsidP="00345EF1">
      <w:pPr>
        <w:spacing w:before="0" w:after="0"/>
        <w:ind w:left="0" w:right="0"/>
        <w:jc w:val="both"/>
        <w:rPr>
          <w:rFonts w:ascii="Calibri" w:eastAsia="Calibri" w:hAnsi="Calibri" w:cs="Times New Roman"/>
          <w:b/>
          <w:bCs/>
          <w:color w:val="002060"/>
          <w:kern w:val="0"/>
          <w:sz w:val="26"/>
          <w:szCs w:val="26"/>
          <w:lang w:eastAsia="en-US"/>
        </w:rPr>
      </w:pPr>
      <w:r w:rsidRPr="00345EF1">
        <w:rPr>
          <w:rFonts w:ascii="Calibri" w:eastAsia="Calibri" w:hAnsi="Calibri" w:cs="Times New Roman"/>
          <w:b/>
          <w:bCs/>
          <w:color w:val="002060"/>
          <w:kern w:val="0"/>
          <w:sz w:val="26"/>
          <w:szCs w:val="26"/>
          <w:lang w:eastAsia="en-US"/>
        </w:rPr>
        <w:t xml:space="preserve">Il dramma dei migranti sulla “Rotta balcanica”: a Trento (Torre </w:t>
      </w:r>
      <w:proofErr w:type="spellStart"/>
      <w:r w:rsidRPr="00345EF1">
        <w:rPr>
          <w:rFonts w:ascii="Calibri" w:eastAsia="Calibri" w:hAnsi="Calibri" w:cs="Times New Roman"/>
          <w:b/>
          <w:bCs/>
          <w:color w:val="002060"/>
          <w:kern w:val="0"/>
          <w:sz w:val="26"/>
          <w:szCs w:val="26"/>
          <w:lang w:eastAsia="en-US"/>
        </w:rPr>
        <w:t>Mirana</w:t>
      </w:r>
      <w:proofErr w:type="spellEnd"/>
      <w:r w:rsidRPr="00345EF1">
        <w:rPr>
          <w:rFonts w:ascii="Calibri" w:eastAsia="Calibri" w:hAnsi="Calibri" w:cs="Times New Roman"/>
          <w:b/>
          <w:bCs/>
          <w:color w:val="002060"/>
          <w:kern w:val="0"/>
          <w:sz w:val="26"/>
          <w:szCs w:val="26"/>
          <w:lang w:eastAsia="en-US"/>
        </w:rPr>
        <w:t>) da venerdì la mostra fotografica “</w:t>
      </w:r>
      <w:proofErr w:type="spellStart"/>
      <w:r w:rsidRPr="00345EF1">
        <w:rPr>
          <w:rFonts w:ascii="Calibri" w:eastAsia="Calibri" w:hAnsi="Calibri" w:cs="Times New Roman"/>
          <w:b/>
          <w:bCs/>
          <w:color w:val="002060"/>
          <w:kern w:val="0"/>
          <w:sz w:val="26"/>
          <w:szCs w:val="26"/>
          <w:lang w:eastAsia="en-US"/>
        </w:rPr>
        <w:t>Finding</w:t>
      </w:r>
      <w:proofErr w:type="spellEnd"/>
      <w:r w:rsidRPr="00345EF1">
        <w:rPr>
          <w:rFonts w:ascii="Calibri" w:eastAsia="Calibri" w:hAnsi="Calibri" w:cs="Times New Roman"/>
          <w:b/>
          <w:bCs/>
          <w:color w:val="002060"/>
          <w:kern w:val="0"/>
          <w:sz w:val="26"/>
          <w:szCs w:val="26"/>
          <w:lang w:eastAsia="en-US"/>
        </w:rPr>
        <w:t xml:space="preserve"> Home” e il rilancio della campagna “Cambiamo </w:t>
      </w:r>
      <w:r w:rsidR="005E0758">
        <w:rPr>
          <w:rFonts w:ascii="Calibri" w:eastAsia="Calibri" w:hAnsi="Calibri" w:cs="Times New Roman"/>
          <w:b/>
          <w:bCs/>
          <w:color w:val="002060"/>
          <w:kern w:val="0"/>
          <w:sz w:val="26"/>
          <w:szCs w:val="26"/>
          <w:lang w:eastAsia="en-US"/>
        </w:rPr>
        <w:t>r</w:t>
      </w:r>
      <w:r w:rsidRPr="00345EF1">
        <w:rPr>
          <w:rFonts w:ascii="Calibri" w:eastAsia="Calibri" w:hAnsi="Calibri" w:cs="Times New Roman"/>
          <w:b/>
          <w:bCs/>
          <w:color w:val="002060"/>
          <w:kern w:val="0"/>
          <w:sz w:val="26"/>
          <w:szCs w:val="26"/>
          <w:lang w:eastAsia="en-US"/>
        </w:rPr>
        <w:t xml:space="preserve">otta!” </w:t>
      </w:r>
      <w:r>
        <w:rPr>
          <w:rFonts w:ascii="Calibri" w:eastAsia="Calibri" w:hAnsi="Calibri" w:cs="Times New Roman"/>
          <w:b/>
          <w:bCs/>
          <w:color w:val="002060"/>
          <w:kern w:val="0"/>
          <w:sz w:val="26"/>
          <w:szCs w:val="26"/>
          <w:lang w:eastAsia="en-US"/>
        </w:rPr>
        <w:t xml:space="preserve">a sostegno dei campi profughi </w:t>
      </w:r>
    </w:p>
    <w:p w14:paraId="667EC272" w14:textId="77777777" w:rsidR="00345EF1" w:rsidRPr="00345EF1" w:rsidRDefault="00345EF1" w:rsidP="00345EF1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</w:p>
    <w:p w14:paraId="27F68175" w14:textId="77777777" w:rsidR="00345EF1" w:rsidRPr="00345EF1" w:rsidRDefault="00345EF1" w:rsidP="00345EF1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Anche in Trentino, complice il freddo pungente di questi giorni, aumenta il dramma dei migranti richiedenti asilo giunti in particolare attraverso la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rotta balcanica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 uno dei principali percorsi migratori per quanti cercano di raggiungere l’Europa via terra, ma anche uno dei più pericolosi: giunti al confine tra Bosnia Erzegovina e Croazia, i più vengono infatti fermati e rispediti indietro, in dispregio al diritto internazionale e al diritto d’asilo.</w:t>
      </w:r>
    </w:p>
    <w:p w14:paraId="3E0CAB6C" w14:textId="77777777" w:rsidR="00057A83" w:rsidRDefault="00345EF1" w:rsidP="00345EF1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Una tragedia umanitaria documentata anche da una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mostra fotografica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dal titolo “</w:t>
      </w:r>
      <w:proofErr w:type="spellStart"/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Finding</w:t>
      </w:r>
      <w:proofErr w:type="spellEnd"/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Home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” che sarà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inaugurata venerdì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16 dicembre alle ore 11 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nelle sale di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Torre </w:t>
      </w:r>
      <w:proofErr w:type="spellStart"/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Mirana</w:t>
      </w:r>
      <w:proofErr w:type="spellEnd"/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a Trento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(via Belenzani, 3), dove poi resterà visibile fino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al 1° gennaio 2023, Giornata mondiale della pace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</w:t>
      </w:r>
    </w:p>
    <w:p w14:paraId="36D12A84" w14:textId="4E80CB86" w:rsidR="00345EF1" w:rsidRPr="00345EF1" w:rsidRDefault="00345EF1" w:rsidP="00345EF1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La mostra, “firmata” dalla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fotografa Chiara Fabbro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 da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anni impegnata sul terreno dei diritti umani e delle migrazioni, viene esposta a Trento nell’ambito della campagna “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Cambiamo rotta!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”, lanciata già a maggio 2021 da un ampio gruppo di realtà locali: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Diocesi di Trento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IPSIA Trentino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ACLI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ATAS,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CNCA Trentino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Movimento dei focolari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Forum Trentino per la pace e i diritti umani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e </w:t>
      </w:r>
      <w:r w:rsidRPr="00345EF1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Osservatorio Balcani Caucaso</w:t>
      </w:r>
      <w:r w:rsidRPr="00345EF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. </w:t>
      </w:r>
    </w:p>
    <w:p w14:paraId="1158C899" w14:textId="77777777" w:rsidR="00345EF1" w:rsidRPr="00345EF1" w:rsidRDefault="00345EF1" w:rsidP="00345EF1">
      <w:pPr>
        <w:spacing w:before="0" w:after="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</w:p>
    <w:p w14:paraId="220B34DF" w14:textId="77777777" w:rsidR="00345EF1" w:rsidRDefault="00345EF1" w:rsidP="00345EF1">
      <w:pPr>
        <w:spacing w:before="0" w:after="0" w:line="276" w:lineRule="auto"/>
        <w:ind w:left="0" w:right="0"/>
        <w:jc w:val="center"/>
        <w:rPr>
          <w:rFonts w:ascii="Calibri" w:eastAsia="Calibri" w:hAnsi="Calibri" w:cs="Times New Roman"/>
          <w:b/>
          <w:bCs/>
          <w:color w:val="auto"/>
          <w:kern w:val="0"/>
          <w:sz w:val="28"/>
          <w:szCs w:val="28"/>
          <w:u w:val="single"/>
          <w:lang w:eastAsia="en-US"/>
        </w:rPr>
      </w:pPr>
      <w:r w:rsidRPr="00345EF1">
        <w:rPr>
          <w:rFonts w:ascii="Calibri" w:eastAsia="Calibri" w:hAnsi="Calibri" w:cs="Times New Roman"/>
          <w:b/>
          <w:bCs/>
          <w:color w:val="auto"/>
          <w:kern w:val="0"/>
          <w:sz w:val="28"/>
          <w:szCs w:val="28"/>
          <w:u w:val="single"/>
          <w:lang w:eastAsia="en-US"/>
        </w:rPr>
        <w:t>Gli operatori dei media sono invitati all’inaugurazione della mostra</w:t>
      </w:r>
    </w:p>
    <w:p w14:paraId="1614435E" w14:textId="22F81286" w:rsidR="00345EF1" w:rsidRPr="00345EF1" w:rsidRDefault="00345EF1" w:rsidP="00345EF1">
      <w:pPr>
        <w:spacing w:before="0" w:after="0" w:line="276" w:lineRule="auto"/>
        <w:ind w:left="0" w:right="0"/>
        <w:jc w:val="center"/>
        <w:rPr>
          <w:rFonts w:ascii="Calibri" w:eastAsia="Calibri" w:hAnsi="Calibri" w:cs="Times New Roman"/>
          <w:b/>
          <w:bCs/>
          <w:color w:val="auto"/>
          <w:kern w:val="0"/>
          <w:sz w:val="28"/>
          <w:szCs w:val="28"/>
          <w:u w:val="single"/>
          <w:lang w:eastAsia="en-US"/>
        </w:rPr>
      </w:pPr>
      <w:r w:rsidRPr="00345EF1">
        <w:rPr>
          <w:rFonts w:ascii="Calibri" w:eastAsia="Calibri" w:hAnsi="Calibri" w:cs="Times New Roman"/>
          <w:b/>
          <w:bCs/>
          <w:color w:val="auto"/>
          <w:kern w:val="0"/>
          <w:sz w:val="28"/>
          <w:szCs w:val="28"/>
          <w:u w:val="single"/>
          <w:lang w:eastAsia="en-US"/>
        </w:rPr>
        <w:t>e al rilancio della campagna “Cambiamo Rotta!”</w:t>
      </w:r>
    </w:p>
    <w:p w14:paraId="22691FF4" w14:textId="2DCC4EF9" w:rsidR="00345EF1" w:rsidRPr="00345EF1" w:rsidRDefault="00345EF1" w:rsidP="00345EF1">
      <w:pPr>
        <w:spacing w:before="0" w:after="0" w:line="276" w:lineRule="auto"/>
        <w:ind w:left="0" w:right="0"/>
        <w:jc w:val="center"/>
        <w:rPr>
          <w:rFonts w:ascii="Calibri" w:eastAsia="Calibri" w:hAnsi="Calibri" w:cs="Times New Roman"/>
          <w:b/>
          <w:bCs/>
          <w:color w:val="auto"/>
          <w:kern w:val="0"/>
          <w:sz w:val="28"/>
          <w:szCs w:val="28"/>
          <w:u w:val="single"/>
          <w:lang w:eastAsia="en-US"/>
        </w:rPr>
      </w:pPr>
      <w:r w:rsidRPr="00345EF1">
        <w:rPr>
          <w:rFonts w:ascii="Calibri" w:eastAsia="Calibri" w:hAnsi="Calibri" w:cs="Times New Roman"/>
          <w:b/>
          <w:bCs/>
          <w:color w:val="auto"/>
          <w:kern w:val="0"/>
          <w:sz w:val="28"/>
          <w:szCs w:val="28"/>
          <w:u w:val="single"/>
          <w:lang w:eastAsia="en-US"/>
        </w:rPr>
        <w:t>venerdì 16 dicembre alle ore 11</w:t>
      </w:r>
    </w:p>
    <w:p w14:paraId="35FB8CF6" w14:textId="11FE767C" w:rsidR="00345EF1" w:rsidRPr="00345EF1" w:rsidRDefault="00345EF1" w:rsidP="00345EF1">
      <w:pPr>
        <w:spacing w:before="0" w:after="0" w:line="276" w:lineRule="auto"/>
        <w:ind w:left="0" w:right="0"/>
        <w:jc w:val="center"/>
        <w:rPr>
          <w:rFonts w:ascii="Calibri" w:eastAsia="Calibri" w:hAnsi="Calibri" w:cs="Times New Roman"/>
          <w:b/>
          <w:bCs/>
          <w:color w:val="auto"/>
          <w:kern w:val="0"/>
          <w:sz w:val="28"/>
          <w:szCs w:val="28"/>
          <w:u w:val="single"/>
          <w:lang w:eastAsia="en-US"/>
        </w:rPr>
      </w:pPr>
      <w:r w:rsidRPr="00345EF1">
        <w:rPr>
          <w:rFonts w:ascii="Calibri" w:eastAsia="Calibri" w:hAnsi="Calibri" w:cs="Times New Roman"/>
          <w:b/>
          <w:bCs/>
          <w:color w:val="auto"/>
          <w:kern w:val="0"/>
          <w:sz w:val="28"/>
          <w:szCs w:val="28"/>
          <w:u w:val="single"/>
          <w:lang w:eastAsia="en-US"/>
        </w:rPr>
        <w:t xml:space="preserve">a Trento nelle sale di Torre </w:t>
      </w:r>
      <w:proofErr w:type="spellStart"/>
      <w:r w:rsidRPr="00345EF1">
        <w:rPr>
          <w:rFonts w:ascii="Calibri" w:eastAsia="Calibri" w:hAnsi="Calibri" w:cs="Times New Roman"/>
          <w:b/>
          <w:bCs/>
          <w:color w:val="auto"/>
          <w:kern w:val="0"/>
          <w:sz w:val="28"/>
          <w:szCs w:val="28"/>
          <w:u w:val="single"/>
          <w:lang w:eastAsia="en-US"/>
        </w:rPr>
        <w:t>Mirana</w:t>
      </w:r>
      <w:proofErr w:type="spellEnd"/>
      <w:r w:rsidRPr="00345EF1">
        <w:rPr>
          <w:rFonts w:ascii="Calibri" w:eastAsia="Calibri" w:hAnsi="Calibri" w:cs="Times New Roman"/>
          <w:b/>
          <w:bCs/>
          <w:color w:val="auto"/>
          <w:kern w:val="0"/>
          <w:sz w:val="28"/>
          <w:szCs w:val="28"/>
          <w:u w:val="single"/>
          <w:lang w:eastAsia="en-US"/>
        </w:rPr>
        <w:t xml:space="preserve"> in via Belenzani.</w:t>
      </w:r>
    </w:p>
    <w:sectPr w:rsidR="00345EF1" w:rsidRPr="00345EF1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291F" w14:textId="77777777" w:rsidR="00543614" w:rsidRDefault="00543614" w:rsidP="00A66B18">
      <w:pPr>
        <w:spacing w:before="0" w:after="0"/>
      </w:pPr>
      <w:r>
        <w:separator/>
      </w:r>
    </w:p>
  </w:endnote>
  <w:endnote w:type="continuationSeparator" w:id="0">
    <w:p w14:paraId="1FB99E42" w14:textId="77777777" w:rsidR="00543614" w:rsidRDefault="0054361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B80A" w14:textId="77777777" w:rsidR="00543614" w:rsidRDefault="00543614" w:rsidP="00A66B18">
      <w:pPr>
        <w:spacing w:before="0" w:after="0"/>
      </w:pPr>
      <w:r>
        <w:separator/>
      </w:r>
    </w:p>
  </w:footnote>
  <w:footnote w:type="continuationSeparator" w:id="0">
    <w:p w14:paraId="41FDCC02" w14:textId="77777777" w:rsidR="00543614" w:rsidRDefault="0054361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57A83"/>
    <w:rsid w:val="000721A0"/>
    <w:rsid w:val="00077815"/>
    <w:rsid w:val="00083BAA"/>
    <w:rsid w:val="000929B4"/>
    <w:rsid w:val="00096C9B"/>
    <w:rsid w:val="00097F2D"/>
    <w:rsid w:val="000B52DD"/>
    <w:rsid w:val="000C1DA4"/>
    <w:rsid w:val="0010680C"/>
    <w:rsid w:val="00132938"/>
    <w:rsid w:val="0013796D"/>
    <w:rsid w:val="00150E3B"/>
    <w:rsid w:val="00152B0B"/>
    <w:rsid w:val="001766D6"/>
    <w:rsid w:val="00183447"/>
    <w:rsid w:val="00187041"/>
    <w:rsid w:val="00192419"/>
    <w:rsid w:val="00196B2E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A190C"/>
    <w:rsid w:val="002A7AB2"/>
    <w:rsid w:val="002D2737"/>
    <w:rsid w:val="002E7497"/>
    <w:rsid w:val="002F0D3B"/>
    <w:rsid w:val="00306F84"/>
    <w:rsid w:val="00333C4C"/>
    <w:rsid w:val="00345EF1"/>
    <w:rsid w:val="00352B81"/>
    <w:rsid w:val="00362F48"/>
    <w:rsid w:val="003873AF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43614"/>
    <w:rsid w:val="00552D4B"/>
    <w:rsid w:val="00581590"/>
    <w:rsid w:val="0059493E"/>
    <w:rsid w:val="005C2210"/>
    <w:rsid w:val="005C3D02"/>
    <w:rsid w:val="005D37FF"/>
    <w:rsid w:val="005E0758"/>
    <w:rsid w:val="006004AC"/>
    <w:rsid w:val="00615018"/>
    <w:rsid w:val="00617A14"/>
    <w:rsid w:val="0062123A"/>
    <w:rsid w:val="00644033"/>
    <w:rsid w:val="00646E75"/>
    <w:rsid w:val="006854B3"/>
    <w:rsid w:val="006857B7"/>
    <w:rsid w:val="006A5335"/>
    <w:rsid w:val="006C10D2"/>
    <w:rsid w:val="006C2741"/>
    <w:rsid w:val="006D1D88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83802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2022-12-14T11:06:00Z</dcterms:created>
  <dcterms:modified xsi:type="dcterms:W3CDTF">2022-12-14T11:06:00Z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