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0D5" w:rsidRPr="00F33A98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</w:rPr>
      </w:pPr>
      <w:r w:rsidRPr="00F33A98">
        <w:rPr>
          <w:rFonts w:ascii="Times New Roman" w:hAnsi="Times New Roman"/>
        </w:rPr>
        <w:tab/>
      </w:r>
      <w:r w:rsidRPr="00F33A98">
        <w:rPr>
          <w:rFonts w:ascii="Times New Roman" w:hAnsi="Times New Roman"/>
        </w:rPr>
        <w:tab/>
      </w:r>
      <w:r w:rsidRPr="00F33A98">
        <w:rPr>
          <w:rFonts w:ascii="Times New Roman" w:hAnsi="Times New Roman"/>
        </w:rPr>
        <w:tab/>
      </w:r>
      <w:r w:rsidRPr="00F33A98">
        <w:rPr>
          <w:rFonts w:ascii="Times New Roman" w:hAnsi="Times New Roman"/>
        </w:rPr>
        <w:tab/>
      </w:r>
      <w:r w:rsidRPr="00F33A98">
        <w:rPr>
          <w:rFonts w:ascii="Times New Roman" w:hAnsi="Times New Roman"/>
        </w:rPr>
        <w:tab/>
        <w:t>Egr</w:t>
      </w:r>
      <w:r>
        <w:rPr>
          <w:rFonts w:ascii="Times New Roman" w:hAnsi="Times New Roman"/>
        </w:rPr>
        <w:t>egio</w:t>
      </w:r>
      <w:r w:rsidRPr="00F33A98">
        <w:rPr>
          <w:rFonts w:ascii="Times New Roman" w:hAnsi="Times New Roman"/>
        </w:rPr>
        <w:t xml:space="preserve"> Signor/Gentile Signora</w:t>
      </w:r>
    </w:p>
    <w:p w:rsidR="00B500D5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3A98">
        <w:rPr>
          <w:rFonts w:ascii="Times New Roman" w:eastAsia="Times New Roman" w:hAnsi="Times New Roman" w:cs="Times New Roman"/>
          <w:highlight w:val="green"/>
        </w:rPr>
        <w:t>…</w:t>
      </w:r>
    </w:p>
    <w:p w:rsidR="00B500D5" w:rsidRDefault="00B500D5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874280" w:rsidRDefault="00874280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:rsidR="00B500D5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NOMINA DELL’INCARICATO AL TRATTAMENTO</w:t>
      </w:r>
    </w:p>
    <w:p w:rsidR="00B500D5" w:rsidRDefault="00B500D5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51DF" w:rsidRDefault="00F33A98">
      <w:pPr>
        <w:pStyle w:val="DidefaultA"/>
        <w:spacing w:line="288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Regolamento Europeo 2016/679 relativo alla protezione delle persone fisi</w:t>
      </w:r>
      <w:r w:rsidR="008C51DF">
        <w:rPr>
          <w:rFonts w:ascii="Times New Roman" w:hAnsi="Times New Roman"/>
          <w:i/>
          <w:iCs/>
          <w:sz w:val="20"/>
          <w:szCs w:val="20"/>
        </w:rPr>
        <w:t>che con riguardo al trattamento</w:t>
      </w:r>
    </w:p>
    <w:p w:rsidR="00B500D5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dei dati personali, nonch</w:t>
      </w:r>
      <w:r w:rsidR="008C51DF">
        <w:rPr>
          <w:rFonts w:ascii="Times New Roman" w:hAnsi="Times New Roman"/>
          <w:i/>
          <w:iCs/>
          <w:sz w:val="20"/>
          <w:szCs w:val="20"/>
        </w:rPr>
        <w:t>é</w:t>
      </w:r>
      <w:r>
        <w:rPr>
          <w:rFonts w:ascii="Times New Roman" w:hAnsi="Times New Roman"/>
          <w:i/>
          <w:iCs/>
          <w:sz w:val="20"/>
          <w:szCs w:val="20"/>
        </w:rPr>
        <w:t xml:space="preserve"> alla libera circolazione di</w:t>
      </w:r>
      <w:r w:rsidR="008C51DF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tali dati.</w:t>
      </w:r>
    </w:p>
    <w:p w:rsidR="00B500D5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</w:t>
      </w:r>
    </w:p>
    <w:p w:rsidR="00B500D5" w:rsidRDefault="00F33A98">
      <w:pPr>
        <w:pStyle w:val="DidefaultA"/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Decreto CEI “Disposizioni per il diritto alla buona fama e alla riservatezza”</w:t>
      </w:r>
    </w:p>
    <w:p w:rsidR="00B500D5" w:rsidRDefault="00B500D5">
      <w:pPr>
        <w:pStyle w:val="DidefaultA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B500D5" w:rsidRDefault="00F33A98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 w:rsidRPr="008C51DF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 xml:space="preserve"> quale legale rappresentante </w:t>
      </w:r>
      <w:r w:rsidR="008C51DF">
        <w:rPr>
          <w:sz w:val="22"/>
          <w:szCs w:val="22"/>
        </w:rPr>
        <w:t xml:space="preserve">della Parrocchia </w:t>
      </w:r>
      <w:r w:rsidRPr="008C51DF">
        <w:rPr>
          <w:sz w:val="22"/>
          <w:szCs w:val="22"/>
          <w:highlight w:val="green"/>
        </w:rPr>
        <w:t>…</w:t>
      </w:r>
      <w:r w:rsidR="008C51DF">
        <w:rPr>
          <w:sz w:val="22"/>
          <w:szCs w:val="22"/>
        </w:rPr>
        <w:t xml:space="preserve"> con sede in </w:t>
      </w:r>
      <w:r w:rsidR="008C51DF" w:rsidRPr="008C51DF">
        <w:rPr>
          <w:sz w:val="22"/>
          <w:szCs w:val="22"/>
          <w:highlight w:val="green"/>
        </w:rPr>
        <w:t>…</w:t>
      </w:r>
      <w:r w:rsidR="008C51DF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 trattamento dei dati personali acquisiti nel contesto della propria attività</w:t>
      </w:r>
    </w:p>
    <w:p w:rsidR="00B500D5" w:rsidRDefault="00F33A98">
      <w:pPr>
        <w:pStyle w:val="Corpo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</w:p>
    <w:p w:rsidR="00B500D5" w:rsidRDefault="00B500D5">
      <w:pPr>
        <w:pStyle w:val="CorpoA"/>
        <w:rPr>
          <w:b/>
          <w:bCs/>
          <w:sz w:val="22"/>
          <w:szCs w:val="22"/>
        </w:rPr>
      </w:pPr>
    </w:p>
    <w:p w:rsidR="00B500D5" w:rsidRDefault="00F33A98" w:rsidP="00874280">
      <w:pPr>
        <w:pStyle w:val="CorpoA"/>
        <w:numPr>
          <w:ilvl w:val="0"/>
          <w:numId w:val="2"/>
        </w:numPr>
        <w:spacing w:after="120"/>
        <w:ind w:left="176" w:hanging="1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Lei ricopre il ruolo di </w:t>
      </w:r>
      <w:r w:rsidRPr="008C51DF">
        <w:rPr>
          <w:sz w:val="22"/>
          <w:szCs w:val="22"/>
          <w:highlight w:val="green"/>
        </w:rPr>
        <w:t>…</w:t>
      </w:r>
      <w:r>
        <w:rPr>
          <w:color w:val="CC241A"/>
          <w:sz w:val="22"/>
          <w:szCs w:val="22"/>
          <w:u w:color="CC241A"/>
        </w:rPr>
        <w:t>(INDICARE)</w:t>
      </w:r>
      <w:r>
        <w:rPr>
          <w:sz w:val="22"/>
          <w:szCs w:val="22"/>
          <w:u w:color="357CA2"/>
        </w:rPr>
        <w:t>;</w:t>
      </w:r>
    </w:p>
    <w:p w:rsidR="00B500D5" w:rsidRDefault="00F33A98">
      <w:pPr>
        <w:pStyle w:val="Corpo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nello svolgimento dei compiti che Le sono stati affidati Lei tratta necessariamente dati personali riferiti alle seguenti categorie di soggetti</w:t>
      </w:r>
      <w:r>
        <w:rPr>
          <w:color w:val="CC241A"/>
          <w:sz w:val="22"/>
          <w:szCs w:val="22"/>
          <w:u w:color="CC241A"/>
        </w:rPr>
        <w:t xml:space="preserve"> (SELEZIONARE)</w:t>
      </w:r>
    </w:p>
    <w:p w:rsidR="00B500D5" w:rsidRDefault="00F33A98">
      <w:pPr>
        <w:pStyle w:val="CorpoA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="008C51DF" w:rsidRPr="00340AC2">
        <w:rPr>
          <w:rFonts w:ascii="Wingdings" w:hAnsi="Wingdings" w:cs="Times New Roman"/>
        </w:rPr>
        <w:t></w:t>
      </w:r>
      <w:r w:rsidR="008C51DF">
        <w:rPr>
          <w:color w:val="CC241A"/>
          <w:sz w:val="22"/>
          <w:szCs w:val="22"/>
          <w:u w:color="357CA2"/>
        </w:rPr>
        <w:t xml:space="preserve">  </w:t>
      </w:r>
      <w:r>
        <w:rPr>
          <w:color w:val="CC241A"/>
          <w:sz w:val="22"/>
          <w:szCs w:val="22"/>
          <w:u w:color="357CA2"/>
        </w:rPr>
        <w:t>utenti</w:t>
      </w:r>
    </w:p>
    <w:p w:rsidR="00B500D5" w:rsidRDefault="00F33A98">
      <w:pPr>
        <w:pStyle w:val="CorpoA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="008C51DF" w:rsidRPr="00340AC2">
        <w:rPr>
          <w:rFonts w:ascii="Wingdings" w:hAnsi="Wingdings" w:cs="Times New Roman"/>
        </w:rPr>
        <w:t></w:t>
      </w:r>
      <w:r w:rsidR="008C51DF">
        <w:rPr>
          <w:color w:val="CC241A"/>
          <w:sz w:val="22"/>
          <w:szCs w:val="22"/>
          <w:u w:color="357CA2"/>
        </w:rPr>
        <w:t xml:space="preserve">  </w:t>
      </w:r>
      <w:r>
        <w:rPr>
          <w:color w:val="CC241A"/>
          <w:sz w:val="22"/>
          <w:szCs w:val="22"/>
          <w:u w:color="357CA2"/>
        </w:rPr>
        <w:t>dipendenti</w:t>
      </w:r>
    </w:p>
    <w:p w:rsidR="00B500D5" w:rsidRDefault="00F33A98" w:rsidP="00874280">
      <w:pPr>
        <w:pStyle w:val="CorpoA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709" w:hanging="176"/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="008C51DF" w:rsidRPr="00340AC2">
        <w:rPr>
          <w:rFonts w:ascii="Wingdings" w:hAnsi="Wingdings" w:cs="Times New Roman"/>
        </w:rPr>
        <w:t></w:t>
      </w:r>
      <w:r w:rsidR="008C51DF">
        <w:rPr>
          <w:color w:val="CC241A"/>
          <w:sz w:val="22"/>
          <w:szCs w:val="22"/>
          <w:u w:color="357CA2"/>
        </w:rPr>
        <w:t xml:space="preserve">  </w:t>
      </w:r>
      <w:r>
        <w:rPr>
          <w:color w:val="CC241A"/>
          <w:sz w:val="22"/>
          <w:szCs w:val="22"/>
          <w:u w:color="357CA2"/>
        </w:rPr>
        <w:t>fornitori</w:t>
      </w:r>
    </w:p>
    <w:p w:rsidR="00B500D5" w:rsidRPr="00F3040A" w:rsidRDefault="00F33A98" w:rsidP="00874280">
      <w:pPr>
        <w:pStyle w:val="CorpoA"/>
        <w:numPr>
          <w:ilvl w:val="0"/>
          <w:numId w:val="4"/>
        </w:numPr>
        <w:spacing w:after="120"/>
        <w:ind w:left="176" w:hanging="176"/>
        <w:jc w:val="both"/>
        <w:rPr>
          <w:rFonts w:ascii="Century Gothic" w:hAnsi="Century Gothic"/>
          <w:i/>
          <w:iCs/>
          <w:sz w:val="22"/>
          <w:szCs w:val="22"/>
        </w:rPr>
      </w:pPr>
      <w:r>
        <w:rPr>
          <w:sz w:val="22"/>
          <w:szCs w:val="22"/>
          <w:u w:color="357CA2"/>
        </w:rPr>
        <w:t xml:space="preserve">che il Codice in materia di protezione dei dati personali, all’art. 2 </w:t>
      </w:r>
      <w:proofErr w:type="spellStart"/>
      <w:r>
        <w:rPr>
          <w:sz w:val="22"/>
          <w:szCs w:val="22"/>
          <w:u w:color="357CA2"/>
        </w:rPr>
        <w:t>quattordecies</w:t>
      </w:r>
      <w:proofErr w:type="spellEnd"/>
      <w:r>
        <w:rPr>
          <w:sz w:val="22"/>
          <w:szCs w:val="22"/>
          <w:u w:color="357CA2"/>
        </w:rPr>
        <w:t xml:space="preserve"> stabilisce che il titolare o il responsabile del trattamento individuano le modalità più opportune per autorizzare al trattamento dei dati personali le persone che operano sotto la propria autorità diretta. </w:t>
      </w:r>
    </w:p>
    <w:p w:rsidR="00B500D5" w:rsidRDefault="00F33A98" w:rsidP="00874280">
      <w:pPr>
        <w:pStyle w:val="CorpoA"/>
        <w:numPr>
          <w:ilvl w:val="0"/>
          <w:numId w:val="4"/>
        </w:numPr>
        <w:spacing w:after="120"/>
        <w:ind w:left="176" w:hanging="176"/>
        <w:jc w:val="both"/>
        <w:rPr>
          <w:rFonts w:ascii="Century Gothic" w:hAnsi="Century Gothic"/>
          <w:sz w:val="22"/>
          <w:szCs w:val="22"/>
        </w:rPr>
      </w:pPr>
      <w:r>
        <w:rPr>
          <w:sz w:val="22"/>
          <w:szCs w:val="22"/>
          <w:u w:color="357CA2"/>
        </w:rPr>
        <w:t xml:space="preserve">che il </w:t>
      </w:r>
      <w:r>
        <w:rPr>
          <w:sz w:val="22"/>
          <w:szCs w:val="22"/>
        </w:rPr>
        <w:t>Decreto CEI “Disposizioni per il diritto alla buona fama e alla riservatezza” all’art. 13 stabilisce il compito del titolare del trattamento di fornire istruzioni ai soggetti che abbiano accesso ai dati personali.</w:t>
      </w:r>
    </w:p>
    <w:p w:rsidR="00B500D5" w:rsidRDefault="00F33A98" w:rsidP="00874280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jc w:val="both"/>
        <w:rPr>
          <w:i/>
          <w:iCs/>
        </w:rPr>
      </w:pPr>
      <w:r>
        <w:rPr>
          <w:sz w:val="22"/>
          <w:szCs w:val="22"/>
        </w:rPr>
        <w:t>Tutto ciò premesso</w:t>
      </w:r>
      <w:r w:rsidR="009C4B81">
        <w:rPr>
          <w:sz w:val="22"/>
          <w:szCs w:val="22"/>
        </w:rPr>
        <w:t xml:space="preserve"> il sottoscritto La autorizza a</w:t>
      </w:r>
      <w:r>
        <w:rPr>
          <w:sz w:val="22"/>
          <w:szCs w:val="22"/>
        </w:rPr>
        <w:t>l trattamento dei dati che dovessero essere necessari e ind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spensabili per adempiere ai compiti che Le sono stati affidati entro i limiti definiti nel seguente profilo </w:t>
      </w:r>
      <w:proofErr w:type="spellStart"/>
      <w:r>
        <w:rPr>
          <w:sz w:val="22"/>
          <w:szCs w:val="22"/>
        </w:rPr>
        <w:t>aut</w:t>
      </w:r>
      <w:r>
        <w:rPr>
          <w:sz w:val="22"/>
          <w:szCs w:val="22"/>
        </w:rPr>
        <w:t>o</w:t>
      </w:r>
      <w:r>
        <w:rPr>
          <w:sz w:val="22"/>
          <w:szCs w:val="22"/>
        </w:rPr>
        <w:t>rizzativo</w:t>
      </w:r>
      <w:proofErr w:type="spellEnd"/>
      <w:r>
        <w:rPr>
          <w:sz w:val="22"/>
          <w:szCs w:val="22"/>
        </w:rPr>
        <w:t>. Il responsabile del sistema informatico provvede a definire i profili di autorizzazione e quindi l’accesso ai dati personali in base al ruolo ricoperto e alle indicazioni contenute nel presente incarico.</w:t>
      </w:r>
    </w:p>
    <w:p w:rsidR="00B500D5" w:rsidRDefault="00F33A98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u w:color="3F6797"/>
        </w:rPr>
        <w:t>E’ dovere dell’incaricato conformare la propria attività al seguente profilo di autorizzazione: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 w:rsidP="00874280">
      <w:pPr>
        <w:pStyle w:val="CorpoA"/>
        <w:numPr>
          <w:ilvl w:val="0"/>
          <w:numId w:val="6"/>
        </w:numPr>
        <w:spacing w:after="120"/>
        <w:ind w:left="176" w:hanging="1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trattamento dei dati personali</w:t>
      </w:r>
      <w:r>
        <w:rPr>
          <w:sz w:val="22"/>
          <w:szCs w:val="22"/>
        </w:rPr>
        <w:t>, sia con modalità elettronica che cartacea riguardanti i soggetti sopra ind</w:t>
      </w:r>
      <w:r>
        <w:rPr>
          <w:sz w:val="22"/>
          <w:szCs w:val="22"/>
        </w:rPr>
        <w:t>i</w:t>
      </w:r>
      <w:r>
        <w:rPr>
          <w:sz w:val="22"/>
          <w:szCs w:val="22"/>
        </w:rPr>
        <w:t>cati</w:t>
      </w:r>
      <w:r>
        <w:rPr>
          <w:sz w:val="22"/>
          <w:szCs w:val="22"/>
          <w:u w:color="357CA2"/>
        </w:rPr>
        <w:t>;</w:t>
      </w:r>
    </w:p>
    <w:p w:rsidR="00B500D5" w:rsidRDefault="00F33A98" w:rsidP="00874280">
      <w:pPr>
        <w:pStyle w:val="CorpoA"/>
        <w:numPr>
          <w:ilvl w:val="0"/>
          <w:numId w:val="6"/>
        </w:numPr>
        <w:spacing w:after="120"/>
        <w:ind w:left="176" w:hanging="1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trattamento delle seguenti “categorie particolari di dati personali” </w:t>
      </w:r>
      <w:r>
        <w:rPr>
          <w:sz w:val="22"/>
          <w:szCs w:val="22"/>
        </w:rPr>
        <w:t xml:space="preserve">in modalità cartacea ed elettronica riguardanti </w:t>
      </w:r>
      <w:r>
        <w:rPr>
          <w:color w:val="CC241A"/>
          <w:sz w:val="22"/>
          <w:szCs w:val="22"/>
          <w:u w:color="CC241A"/>
        </w:rPr>
        <w:t>(INDICARE):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540"/>
        <w:jc w:val="both"/>
        <w:rPr>
          <w:color w:val="CC241A"/>
          <w:sz w:val="22"/>
          <w:szCs w:val="22"/>
          <w:u w:color="357CA2"/>
        </w:rPr>
      </w:pPr>
      <w:r>
        <w:rPr>
          <w:b/>
          <w:bCs/>
          <w:color w:val="CC241A"/>
          <w:sz w:val="22"/>
          <w:szCs w:val="22"/>
          <w:u w:color="357CA2"/>
        </w:rPr>
        <w:t>1) utenti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540"/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="008C51DF" w:rsidRPr="00340AC2">
        <w:rPr>
          <w:rFonts w:ascii="Wingdings" w:hAnsi="Wingdings" w:cs="Times New Roman"/>
        </w:rPr>
        <w:t></w:t>
      </w:r>
      <w:r>
        <w:rPr>
          <w:color w:val="CC241A"/>
          <w:sz w:val="22"/>
          <w:szCs w:val="22"/>
          <w:u w:color="357CA2"/>
        </w:rPr>
        <w:tab/>
        <w:t>dati idonei a rivelare l’origine razziale o etnica;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le convinzioni religiose, filosofiche o di altro genere;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adesione ad associazioni od organizzazioni a carattere religioso, filosofico, politico o sind</w:t>
      </w:r>
      <w:r w:rsidR="00F33A98">
        <w:rPr>
          <w:color w:val="CC241A"/>
          <w:sz w:val="22"/>
          <w:szCs w:val="22"/>
          <w:u w:color="357CA2"/>
        </w:rPr>
        <w:t>a</w:t>
      </w:r>
      <w:r w:rsidR="00F33A98">
        <w:rPr>
          <w:color w:val="CC241A"/>
          <w:sz w:val="22"/>
          <w:szCs w:val="22"/>
          <w:u w:color="357CA2"/>
        </w:rPr>
        <w:t>cale;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lo stato di salute;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la vita sessuale;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lastRenderedPageBreak/>
        <w:t></w:t>
      </w:r>
      <w:r w:rsidR="00F33A98">
        <w:rPr>
          <w:color w:val="CC241A"/>
          <w:sz w:val="22"/>
          <w:szCs w:val="22"/>
          <w:u w:color="357CA2"/>
        </w:rPr>
        <w:tab/>
        <w:t>dati genetici;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biometrici;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giudiziari.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CC241A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540"/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>2</w:t>
      </w:r>
      <w:r>
        <w:rPr>
          <w:b/>
          <w:bCs/>
          <w:color w:val="CC241A"/>
          <w:sz w:val="22"/>
          <w:szCs w:val="22"/>
          <w:u w:color="357CA2"/>
        </w:rPr>
        <w:t>) altri soggetti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540"/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 xml:space="preserve"> </w:t>
      </w:r>
      <w:r>
        <w:rPr>
          <w:color w:val="CC241A"/>
          <w:sz w:val="22"/>
          <w:szCs w:val="22"/>
          <w:u w:color="357CA2"/>
        </w:rPr>
        <w:tab/>
      </w:r>
      <w:r w:rsidR="008C51DF" w:rsidRPr="00340AC2">
        <w:rPr>
          <w:rFonts w:ascii="Wingdings" w:hAnsi="Wingdings" w:cs="Times New Roman"/>
        </w:rPr>
        <w:t></w:t>
      </w:r>
      <w:r>
        <w:rPr>
          <w:color w:val="CC241A"/>
          <w:sz w:val="22"/>
          <w:szCs w:val="22"/>
          <w:u w:color="357CA2"/>
        </w:rPr>
        <w:tab/>
        <w:t>dati idonei a rivelare l’origine razziale o etnica;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le convinzioni religiose, filosofiche o di altro genere;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adesione ad associazioni od organizzazioni a carattere religioso, filosofico, politico o sind</w:t>
      </w:r>
      <w:r w:rsidR="00F33A98">
        <w:rPr>
          <w:color w:val="CC241A"/>
          <w:sz w:val="22"/>
          <w:szCs w:val="22"/>
          <w:u w:color="357CA2"/>
        </w:rPr>
        <w:t>a</w:t>
      </w:r>
      <w:r w:rsidR="00F33A98">
        <w:rPr>
          <w:color w:val="CC241A"/>
          <w:sz w:val="22"/>
          <w:szCs w:val="22"/>
          <w:u w:color="357CA2"/>
        </w:rPr>
        <w:t>cale;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lo stato di salute;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genetici;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biometrici;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idonei a rivelare la vita sessuale;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color w:val="CC241A"/>
          <w:sz w:val="22"/>
          <w:szCs w:val="22"/>
          <w:u w:color="357CA2"/>
        </w:rPr>
      </w:pP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dati giudiziari.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trattamento dei dati raccolti tramite l’impianto di video rilevazione </w:t>
      </w:r>
      <w:r>
        <w:rPr>
          <w:sz w:val="22"/>
          <w:szCs w:val="22"/>
        </w:rPr>
        <w:t>(unica operazione consentita: v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sualizzazione delle immagini). 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u w:color="357CA2"/>
        </w:rPr>
      </w:pPr>
      <w:r>
        <w:rPr>
          <w:sz w:val="22"/>
          <w:szCs w:val="22"/>
        </w:rPr>
        <w:t>Sui predetti dati Lei è autorizzato/a a compiere le seguenti operazioni</w:t>
      </w:r>
      <w:r>
        <w:rPr>
          <w:color w:val="CC241A"/>
          <w:sz w:val="22"/>
          <w:szCs w:val="22"/>
          <w:u w:color="CC241A"/>
        </w:rPr>
        <w:t xml:space="preserve"> (INDICARE)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720"/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raccolta, registrazione, organizzazione, conservazione, consultazione, elaborazione, utilizzo;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modificazione;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comunicazione;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diffusione;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cancellazione e distruzione;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blocco;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operazioni diverse quali selezione, estrazione, raffronto, interconnessione.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ricorda che la comunicazione a terzi dei dati acquisiti è ammessa solo nei confronti di terzi legittimati e la loro diffusione è consentita qualora prevista da un obbligo di legge o previa autorizzazione dell’interessato. 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Lei inoltre è: </w:t>
      </w:r>
      <w:r>
        <w:rPr>
          <w:color w:val="CC241A"/>
          <w:sz w:val="22"/>
          <w:szCs w:val="22"/>
          <w:u w:color="CC241A"/>
        </w:rPr>
        <w:t>(INDICARE)</w:t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autorizzato/a</w:t>
      </w:r>
      <w:r w:rsidR="00F33A98">
        <w:rPr>
          <w:color w:val="CC241A"/>
          <w:sz w:val="22"/>
          <w:szCs w:val="22"/>
          <w:u w:color="357CA2"/>
        </w:rPr>
        <w:tab/>
      </w:r>
      <w:r w:rsidR="00F33A98">
        <w:rPr>
          <w:color w:val="CC241A"/>
          <w:sz w:val="22"/>
          <w:szCs w:val="22"/>
          <w:u w:color="357CA2"/>
        </w:rPr>
        <w:tab/>
      </w:r>
      <w:r w:rsidR="00F33A98">
        <w:rPr>
          <w:color w:val="CC241A"/>
          <w:sz w:val="22"/>
          <w:szCs w:val="22"/>
          <w:u w:color="357CA2"/>
        </w:rPr>
        <w:tab/>
      </w:r>
      <w:r w:rsidR="00F33A98">
        <w:rPr>
          <w:color w:val="CC241A"/>
          <w:sz w:val="22"/>
          <w:szCs w:val="22"/>
          <w:u w:color="357CA2"/>
        </w:rPr>
        <w:tab/>
      </w:r>
    </w:p>
    <w:p w:rsidR="00B500D5" w:rsidRDefault="008C51D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CC241A"/>
          <w:sz w:val="22"/>
          <w:szCs w:val="22"/>
          <w:u w:color="357CA2"/>
        </w:rPr>
      </w:pPr>
      <w:r>
        <w:rPr>
          <w:color w:val="CC241A"/>
          <w:sz w:val="22"/>
          <w:szCs w:val="22"/>
          <w:u w:color="357CA2"/>
        </w:rPr>
        <w:tab/>
      </w:r>
      <w:r w:rsidRPr="00340AC2">
        <w:rPr>
          <w:rFonts w:ascii="Wingdings" w:hAnsi="Wingdings" w:cs="Times New Roman"/>
        </w:rPr>
        <w:t></w:t>
      </w:r>
      <w:r w:rsidR="00F33A98">
        <w:rPr>
          <w:color w:val="CC241A"/>
          <w:sz w:val="22"/>
          <w:szCs w:val="22"/>
          <w:u w:color="357CA2"/>
        </w:rPr>
        <w:tab/>
        <w:t>non autorizzato/a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ad accedere agli archivi cartacei contenenti dati per cui autorizzato.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Lei dovrà trattare i dati ai quali ha accesso esclusivamente per lo svolgimento dei compiti e delle funzioni cui affidatario e non potrà porre in essere alcuna nuova o diversa operazione di trattamento senza la preventiva autorizzazione del titolare o del responsabile nel pieno rispetto delle prescrizioni del Regolamento UE 16/679, del Codice in materia di protezione dati personali e del Decreto CEI “Disposizioni per il diritto alla buona fama e alla riservatezza”.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Nell’adempimento dell’incarico conferito La invitiamo ad attenersi ai principi di necessità </w:t>
      </w:r>
      <w:r w:rsidR="004F7A36">
        <w:rPr>
          <w:sz w:val="22"/>
          <w:szCs w:val="22"/>
        </w:rPr>
        <w:t xml:space="preserve">e </w:t>
      </w:r>
      <w:r>
        <w:rPr>
          <w:sz w:val="22"/>
          <w:szCs w:val="22"/>
        </w:rPr>
        <w:t>indispensabilità. Ogni attività deve infatti essere svolta riducendo al minimo l'utilizzazione di dati personali e di dati identif</w:t>
      </w:r>
      <w:r>
        <w:rPr>
          <w:sz w:val="22"/>
          <w:szCs w:val="22"/>
        </w:rPr>
        <w:t>i</w:t>
      </w:r>
      <w:r>
        <w:rPr>
          <w:sz w:val="22"/>
          <w:szCs w:val="22"/>
        </w:rPr>
        <w:t>cativi, con particolare attenzione quando questi possano rientrare nella “categoria particolare di dati person</w:t>
      </w:r>
      <w:r>
        <w:rPr>
          <w:sz w:val="22"/>
          <w:szCs w:val="22"/>
        </w:rPr>
        <w:t>a</w:t>
      </w:r>
      <w:r>
        <w:rPr>
          <w:sz w:val="22"/>
          <w:szCs w:val="22"/>
        </w:rPr>
        <w:t>li”, in modo da escluderne il trattamento quando le finalità perseguite nei singoli casi possono essere reali</w:t>
      </w:r>
      <w:r>
        <w:rPr>
          <w:sz w:val="22"/>
          <w:szCs w:val="22"/>
        </w:rPr>
        <w:t>z</w:t>
      </w:r>
      <w:r>
        <w:rPr>
          <w:sz w:val="22"/>
          <w:szCs w:val="22"/>
        </w:rPr>
        <w:t>zate mediante, rispettivamente, dati anonimi od opportune modalità che permettano di identificare l'interess</w:t>
      </w:r>
      <w:r>
        <w:rPr>
          <w:sz w:val="22"/>
          <w:szCs w:val="22"/>
        </w:rPr>
        <w:t>a</w:t>
      </w:r>
      <w:r>
        <w:rPr>
          <w:sz w:val="22"/>
          <w:szCs w:val="22"/>
        </w:rPr>
        <w:t>to solo in caso di necessità.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Lei è tenuto a coadiuvare il Titolare del trattamento nel garantire il rispetto degli obblighi di cui agli articoli 32 (Sicurezza del trattamento), 33 (Notifica di una violazion</w:t>
      </w:r>
      <w:r w:rsidR="004E0F96">
        <w:rPr>
          <w:sz w:val="22"/>
          <w:szCs w:val="22"/>
        </w:rPr>
        <w:t>e dei dati personali all’autorità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di controllo), 34 (Comunicazione di una violazione dei dati personali all’interessato), 35 (Valutazione d’impatto sulla prot</w:t>
      </w:r>
      <w:r>
        <w:rPr>
          <w:sz w:val="22"/>
          <w:szCs w:val="22"/>
        </w:rPr>
        <w:t>e</w:t>
      </w:r>
      <w:r>
        <w:rPr>
          <w:sz w:val="22"/>
          <w:szCs w:val="22"/>
        </w:rPr>
        <w:t>zione dei dati) e 36 (Consultazione preventiva).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invita l’incaricato a prendere visione e conformarsi a quanto indicato nel materiale informativo e nelle </w:t>
      </w:r>
      <w:r>
        <w:rPr>
          <w:sz w:val="22"/>
          <w:szCs w:val="22"/>
        </w:rPr>
        <w:t>i</w:t>
      </w:r>
      <w:r>
        <w:rPr>
          <w:sz w:val="22"/>
          <w:szCs w:val="22"/>
        </w:rPr>
        <w:t>struzioni operative messe a sua disposizione.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luogo, data</w:t>
      </w:r>
    </w:p>
    <w:p w:rsidR="00B500D5" w:rsidRDefault="004E0F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highlight w:val="green"/>
        </w:rPr>
        <w:t>…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firma del titolare del trattamento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8C51DF">
        <w:rPr>
          <w:sz w:val="22"/>
          <w:szCs w:val="22"/>
          <w:highlight w:val="green"/>
        </w:rPr>
        <w:t>…</w:t>
      </w:r>
    </w:p>
    <w:p w:rsidR="00B500D5" w:rsidRPr="00F33A98" w:rsidRDefault="00D561C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2"/>
          <w:szCs w:val="22"/>
        </w:rPr>
      </w:pPr>
      <w:r w:rsidRPr="00D561CF">
        <w:rPr>
          <w:b/>
          <w:bCs/>
          <w:sz w:val="22"/>
          <w:szCs w:val="22"/>
        </w:rPr>
        <w:t>PER PRESA VISIONE E ACCETTAZIONE</w:t>
      </w:r>
    </w:p>
    <w:p w:rsidR="00B500D5" w:rsidRPr="00F33A98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 la sottoscrizione del presente documento, viene accettata la nomina ed assunto l’impegno a proc</w:t>
      </w:r>
      <w:r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dere al trattamento dei dati personali attenendosi alle istruzioni impartite nel rispetto della normativa cogente.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2"/>
          <w:szCs w:val="22"/>
        </w:rPr>
      </w:pP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firma per accettazione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8C51DF">
        <w:rPr>
          <w:sz w:val="22"/>
          <w:szCs w:val="22"/>
          <w:highlight w:val="green"/>
        </w:rPr>
        <w:t>…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</w:p>
    <w:p w:rsidR="00B500D5" w:rsidRPr="004F7A36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mallCaps/>
          <w:sz w:val="22"/>
          <w:szCs w:val="22"/>
        </w:rPr>
      </w:pPr>
      <w:r>
        <w:rPr>
          <w:b/>
          <w:bCs/>
          <w:sz w:val="22"/>
          <w:szCs w:val="22"/>
        </w:rPr>
        <w:t>REGOLE GENERALI</w:t>
      </w:r>
      <w:r w:rsidR="004F7A36">
        <w:rPr>
          <w:b/>
          <w:bCs/>
          <w:sz w:val="22"/>
          <w:szCs w:val="22"/>
        </w:rPr>
        <w:t xml:space="preserve"> (</w:t>
      </w:r>
      <w:r w:rsidR="004F7A36">
        <w:rPr>
          <w:b/>
          <w:bCs/>
          <w:smallCaps/>
          <w:sz w:val="22"/>
          <w:szCs w:val="22"/>
        </w:rPr>
        <w:t>da consegnare all’Incaricato)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Alla raccolta del dato</w:t>
      </w:r>
      <w:r>
        <w:rPr>
          <w:sz w:val="22"/>
          <w:szCs w:val="22"/>
          <w:u w:color="3F6797"/>
        </w:rPr>
        <w:t xml:space="preserve"> si deve sempre </w:t>
      </w:r>
      <w:r>
        <w:rPr>
          <w:sz w:val="22"/>
          <w:szCs w:val="22"/>
        </w:rPr>
        <w:t>verificare con la massima attenzione l’esattezza, la pertinenza, la co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pletezza e la non eccedenza </w:t>
      </w:r>
      <w:r>
        <w:rPr>
          <w:sz w:val="22"/>
          <w:szCs w:val="22"/>
          <w:u w:color="3F6797"/>
        </w:rPr>
        <w:t>di quanto acquisito</w:t>
      </w:r>
      <w:r>
        <w:rPr>
          <w:sz w:val="22"/>
          <w:szCs w:val="22"/>
        </w:rPr>
        <w:t xml:space="preserve">. E’ </w:t>
      </w:r>
      <w:r>
        <w:rPr>
          <w:sz w:val="22"/>
          <w:szCs w:val="22"/>
          <w:u w:color="3F6797"/>
        </w:rPr>
        <w:t>lecito</w:t>
      </w:r>
      <w:r>
        <w:rPr>
          <w:sz w:val="22"/>
          <w:szCs w:val="22"/>
        </w:rPr>
        <w:t xml:space="preserve"> raccogliere e registrare </w:t>
      </w:r>
      <w:r>
        <w:rPr>
          <w:sz w:val="22"/>
          <w:szCs w:val="22"/>
          <w:u w:color="3F6797"/>
        </w:rPr>
        <w:t>unicamente</w:t>
      </w:r>
      <w:r>
        <w:rPr>
          <w:sz w:val="22"/>
          <w:szCs w:val="22"/>
        </w:rPr>
        <w:t xml:space="preserve"> i dati personali per scopi conformi alle finalità perseguite dall’ente </w:t>
      </w:r>
      <w:r>
        <w:rPr>
          <w:sz w:val="22"/>
          <w:szCs w:val="22"/>
          <w:u w:color="3F6797"/>
        </w:rPr>
        <w:t>nonché</w:t>
      </w:r>
      <w:r>
        <w:rPr>
          <w:sz w:val="22"/>
          <w:szCs w:val="22"/>
        </w:rPr>
        <w:t xml:space="preserve"> aggiornare periodicamente, se necessario, i dati. 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I dati dovranno essere conservati in una forma che consente l’identificazione dell’interessato per un periodo non superiore a quello necessario agli scopi per i quali essi sono stati raccolti o successivamente trattati. Si fa espressamente rinvio al concetto di “temporalità di trattamento” e ai criteri previsti dal titolare per darne es</w:t>
      </w:r>
      <w:r>
        <w:rPr>
          <w:sz w:val="22"/>
          <w:szCs w:val="22"/>
        </w:rPr>
        <w:t>e</w:t>
      </w:r>
      <w:r>
        <w:rPr>
          <w:sz w:val="22"/>
          <w:szCs w:val="22"/>
        </w:rPr>
        <w:t>cuzione.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Tutti i dati personali di cui viene a conoscenza nell’ambito dello svolgimento delle proprie funzioni dovra</w:t>
      </w:r>
      <w:r>
        <w:rPr>
          <w:sz w:val="22"/>
          <w:szCs w:val="22"/>
        </w:rPr>
        <w:t>n</w:t>
      </w:r>
      <w:r>
        <w:rPr>
          <w:sz w:val="22"/>
          <w:szCs w:val="22"/>
        </w:rPr>
        <w:t>no essere trattati in modo lecito e secondo correttezza; non è ammesso prelevare dalle banche dati del titolare dati personali e/o acquisirne copia, salvo casi eccezionali che dovranno essere preventivamente autorizzati dal titolare o dal responsabile,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Non è possibile diffondere o comunicare dati personali a terzi se non previsto da norma di legge o regol</w:t>
      </w:r>
      <w:r>
        <w:rPr>
          <w:sz w:val="22"/>
          <w:szCs w:val="22"/>
        </w:rPr>
        <w:t>a</w:t>
      </w:r>
      <w:r>
        <w:rPr>
          <w:sz w:val="22"/>
          <w:szCs w:val="22"/>
        </w:rPr>
        <w:t>mento o se ciò non risulti autorizzato dall’interessato.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u w:color="3F6797"/>
        </w:rPr>
        <w:t>E’ necessario o</w:t>
      </w:r>
      <w:r>
        <w:rPr>
          <w:sz w:val="22"/>
          <w:szCs w:val="22"/>
        </w:rPr>
        <w:t>sservare scrupolosamente tutte le misure di sicurezza adottate dal titolare per escludere tra</w:t>
      </w:r>
      <w:r>
        <w:rPr>
          <w:sz w:val="22"/>
          <w:szCs w:val="22"/>
        </w:rPr>
        <w:t>t</w:t>
      </w:r>
      <w:r>
        <w:rPr>
          <w:sz w:val="22"/>
          <w:szCs w:val="22"/>
        </w:rPr>
        <w:t>tamenti difformi da quelli consentiti.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I dati devono essere cancellati o distrutti al termine degli obblighi legali di conservazione dei documenti.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L’incaricato deve sempre segnalare al titolare e al responsabile per la protezione dei dati personali, se des</w:t>
      </w:r>
      <w:r>
        <w:rPr>
          <w:sz w:val="22"/>
          <w:szCs w:val="22"/>
        </w:rPr>
        <w:t>i</w:t>
      </w:r>
      <w:r>
        <w:rPr>
          <w:sz w:val="22"/>
          <w:szCs w:val="22"/>
        </w:rPr>
        <w:t>gnato, ogni ipotesi di violazione cui dovesse essere interessato.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L’incaricato deve periodicamente aggiornarsi sulle misure di sicurezza e le procedure adottate dal titolare in ragione del principio di privacy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design e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default.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REGOLE PER IL TRATTAMENTO CON STRUMENTI ELETTRONICI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regola tutti i dati trattati da ogni singolo incaricato devono essere salvati sul server. L’accesso ai dati e/o agli strumenti elettronici è consentito agli incaricati unicamente con l’inserimento di un codice identificativo personale e di una password. La password è personale e segreta.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strumenti elettronici in dotazione degli incaricati non devono essere lasciati incustoditi o accessibili da terzi durante una sessione del trattamento. In caso di allontanamento dalla propria postazione di lavoro, il computer deve essere spento o bloccato (premere i tasti </w:t>
      </w:r>
      <w:proofErr w:type="spellStart"/>
      <w:r>
        <w:rPr>
          <w:sz w:val="22"/>
          <w:szCs w:val="22"/>
        </w:rPr>
        <w:t>Ctrl</w:t>
      </w:r>
      <w:proofErr w:type="spellEnd"/>
      <w:r>
        <w:rPr>
          <w:sz w:val="22"/>
          <w:szCs w:val="22"/>
        </w:rPr>
        <w:t xml:space="preserve"> + Alt + </w:t>
      </w:r>
      <w:proofErr w:type="spellStart"/>
      <w:r>
        <w:rPr>
          <w:sz w:val="22"/>
          <w:szCs w:val="22"/>
        </w:rPr>
        <w:t>Canc</w:t>
      </w:r>
      <w:proofErr w:type="spellEnd"/>
      <w:r>
        <w:rPr>
          <w:sz w:val="22"/>
          <w:szCs w:val="22"/>
        </w:rPr>
        <w:t xml:space="preserve"> – blocca computer) oppure deve essere attivata la procedura di </w:t>
      </w:r>
      <w:proofErr w:type="spellStart"/>
      <w:r>
        <w:rPr>
          <w:sz w:val="22"/>
          <w:szCs w:val="22"/>
        </w:rPr>
        <w:t>screen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saver</w:t>
      </w:r>
      <w:proofErr w:type="spellEnd"/>
      <w:r>
        <w:rPr>
          <w:sz w:val="22"/>
          <w:szCs w:val="22"/>
        </w:rPr>
        <w:t xml:space="preserve"> con password o deve essere chiusa a chiave la porta di accesso agli uffici.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Eventuali dati personali elaborati che non dovessero essere coperti dal salvataggio centralizzato (ad esempio quelli contenuti nel disco fisso del PC in dotazione) devono essere salvati dagli incaricati con frequenza a</w:t>
      </w:r>
      <w:r>
        <w:rPr>
          <w:sz w:val="22"/>
          <w:szCs w:val="22"/>
        </w:rPr>
        <w:t>l</w:t>
      </w:r>
      <w:r>
        <w:rPr>
          <w:sz w:val="22"/>
          <w:szCs w:val="22"/>
        </w:rPr>
        <w:t>meno settimanale. I supporti utilizzati per il salvataggio dovranno essere custoditi a cura degli incaricati in cassetti, armadi, contenitori chiusi a chiave.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Tutti i supporti rimovibili, se non vengono più utilizzati devono essere distrutti o resi inutilizzabili. Tali su</w:t>
      </w:r>
      <w:r>
        <w:rPr>
          <w:sz w:val="22"/>
          <w:szCs w:val="22"/>
        </w:rPr>
        <w:t>p</w:t>
      </w:r>
      <w:r>
        <w:rPr>
          <w:sz w:val="22"/>
          <w:szCs w:val="22"/>
        </w:rPr>
        <w:t>porti possono comunque essere riutilizzati, anche da altri incaricati, se le informazioni precedentemente in essi contenute non sono intelligibili o tecnicamente in alcun modo ricostruibili. Si raccomanda quindi la tot</w:t>
      </w:r>
      <w:r>
        <w:rPr>
          <w:sz w:val="22"/>
          <w:szCs w:val="22"/>
        </w:rPr>
        <w:t>a</w:t>
      </w:r>
      <w:r>
        <w:rPr>
          <w:sz w:val="22"/>
          <w:szCs w:val="22"/>
        </w:rPr>
        <w:t>le formattazione dei supporti utilizzati. Se non fosse possibile formattare completamente i supporti utilizzati, gli stessi devono essere distrutti. Se i supporti rimovibili contengono categorie particolari di dati personali o giudiziari devono essere custoditi a cura dell’incaricato al fine di evitare accessi non autorizzati o trattamenti non consentiti. Si consiglia quindi di conservarli in armadi o cassetti chiudibili a chiave.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regola non è consentito utilizzare fax o posta elettronica per l’invio di documenti in chiaro contenenti c</w:t>
      </w:r>
      <w:r>
        <w:rPr>
          <w:sz w:val="22"/>
          <w:szCs w:val="22"/>
        </w:rPr>
        <w:t>a</w:t>
      </w:r>
      <w:r>
        <w:rPr>
          <w:sz w:val="22"/>
          <w:szCs w:val="22"/>
        </w:rPr>
        <w:t>tegorie particolari di dati personali.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software e gli strumenti informatici devono essere utilizzati solamente per i fini strettamente necessari allo svolgimento del proprio lavoro. 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accessi ad Internet e le caselle di posta non possono essere utilizzati per uso personale. Nessun software può essere installato sulla struttura informatica del titolare senza preventiva autorizzazione del responsabile o dell’amministratore di sistema. Utilizzare la connessione ad Internet per il tempo strettamente necessario alle operazioni da svolgere. 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Qualora si dovessero riscontrare malfunzionamenti o non conformità, comunicare l’accaduto al più presto al titolare o al responsabile del trattamento.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REGOLE PER I TRATTAMENTI CON STRUMENTI NON ELETTRONICI </w:t>
      </w: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Tutti gli incaricati sono tenuti al controllo e alla custodia dei documenti contenenti dati personali per l’intero ciclo necessario allo svolgimento delle operazioni di trattamento loro assegnate. L’accesso ai dati personali dovrà essere limitato a quelli la cui conoscenza sia necessaria e indispensabile per lo svolgimento delle op</w:t>
      </w:r>
      <w:r>
        <w:rPr>
          <w:sz w:val="22"/>
          <w:szCs w:val="22"/>
        </w:rPr>
        <w:t>e</w:t>
      </w:r>
      <w:r>
        <w:rPr>
          <w:sz w:val="22"/>
          <w:szCs w:val="22"/>
        </w:rPr>
        <w:t>razioni di trattamento. E’ compito dell’incaricato provvedere alla loro idonea archiviazione e/o distruzione alla cessazione delle operazioni autorizzate.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dovrà mantenere assoluto riserbo sui dati personali di cui si viene a conoscenza nell’esercizio delle proprie funzioni.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termine delle operazioni affidate, gli atti e i documenti devono essere riposti negli appositi archivi o rest</w:t>
      </w:r>
      <w:r>
        <w:rPr>
          <w:sz w:val="22"/>
          <w:szCs w:val="22"/>
        </w:rPr>
        <w:t>i</w:t>
      </w:r>
      <w:r>
        <w:rPr>
          <w:sz w:val="22"/>
          <w:szCs w:val="22"/>
        </w:rPr>
        <w:t>tuiti al responsabile del servizio. Nessun documento deve essere lasciato accessibile ad altre persone.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Tutti gli incaricati devono inoltre controllare i propri archivi affinché non sia possibile l’accesso agli stessi da parte di persone non autorizzate. Gli archivi dovranno essere chiusi a chiave al termine dell’orario lavor</w:t>
      </w:r>
      <w:r>
        <w:rPr>
          <w:sz w:val="22"/>
          <w:szCs w:val="22"/>
        </w:rPr>
        <w:t>a</w:t>
      </w:r>
      <w:r>
        <w:rPr>
          <w:sz w:val="22"/>
          <w:szCs w:val="22"/>
        </w:rPr>
        <w:t>tivo. Le chiavi dovranno poi essere custodite in modo tale da inibirne l’accesso da parte di terzi non autori</w:t>
      </w:r>
      <w:r>
        <w:rPr>
          <w:sz w:val="22"/>
          <w:szCs w:val="22"/>
        </w:rPr>
        <w:t>z</w:t>
      </w:r>
      <w:r>
        <w:rPr>
          <w:sz w:val="22"/>
          <w:szCs w:val="22"/>
        </w:rPr>
        <w:t>zati.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I documenti cartacei devono essere resi illeggibili prima del loro smaltimento.</w:t>
      </w: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B500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:rsidR="00B500D5" w:rsidRDefault="00F33A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REGOLE PER IL TRATTAMENTO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DATI CON SISTEMI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VIDEOSORVEGLIANZA</w:t>
      </w:r>
    </w:p>
    <w:p w:rsidR="00B500D5" w:rsidRDefault="00F33A98">
      <w:pPr>
        <w:pStyle w:val="Corpo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9"/>
          <w:tab w:val="left" w:pos="8640"/>
          <w:tab w:val="left" w:pos="9132"/>
        </w:tabs>
        <w:jc w:val="both"/>
        <w:rPr>
          <w:sz w:val="22"/>
          <w:szCs w:val="22"/>
          <w:u w:color="3F6797"/>
        </w:rPr>
      </w:pPr>
      <w:r>
        <w:rPr>
          <w:sz w:val="22"/>
          <w:szCs w:val="22"/>
          <w:u w:color="3F6797"/>
        </w:rPr>
        <w:t>Tutti i dati personali trattati mediante il sistema di videosorveglianza di cui l’incaricato viene a conoscenza nell’ambito del presente incarico dovranno essere mantenuti riservati.</w:t>
      </w:r>
    </w:p>
    <w:p w:rsidR="00B500D5" w:rsidRDefault="00B500D5">
      <w:pPr>
        <w:pStyle w:val="Corpo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9"/>
          <w:tab w:val="left" w:pos="8640"/>
          <w:tab w:val="left" w:pos="9132"/>
        </w:tabs>
        <w:jc w:val="both"/>
        <w:rPr>
          <w:sz w:val="22"/>
          <w:szCs w:val="22"/>
          <w:u w:color="3F6797"/>
        </w:rPr>
      </w:pPr>
    </w:p>
    <w:p w:rsidR="00B500D5" w:rsidRDefault="009C4B81">
      <w:pPr>
        <w:pStyle w:val="Corpo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9"/>
          <w:tab w:val="left" w:pos="8640"/>
          <w:tab w:val="left" w:pos="9132"/>
        </w:tabs>
        <w:jc w:val="both"/>
        <w:rPr>
          <w:sz w:val="22"/>
          <w:szCs w:val="22"/>
          <w:u w:color="3F6797"/>
        </w:rPr>
      </w:pPr>
      <w:r>
        <w:rPr>
          <w:sz w:val="22"/>
          <w:szCs w:val="22"/>
          <w:u w:color="3F6797"/>
        </w:rPr>
        <w:t xml:space="preserve">È </w:t>
      </w:r>
      <w:r w:rsidR="00F33A98">
        <w:rPr>
          <w:sz w:val="22"/>
          <w:szCs w:val="22"/>
          <w:u w:color="3F6797"/>
        </w:rPr>
        <w:t>necessario provvedere alla conservazione degli strumenti con cui vengono trattate le immagini in modo t</w:t>
      </w:r>
      <w:r w:rsidR="00F33A98">
        <w:rPr>
          <w:sz w:val="22"/>
          <w:szCs w:val="22"/>
          <w:u w:color="3F6797"/>
        </w:rPr>
        <w:t>a</w:t>
      </w:r>
      <w:r w:rsidR="00F33A98">
        <w:rPr>
          <w:sz w:val="22"/>
          <w:szCs w:val="22"/>
          <w:u w:color="3F6797"/>
        </w:rPr>
        <w:t>le da inibirne l’accesso a terzi; ad es. i monitor sui quali sono trasmesse le immagini dovranno essere coll</w:t>
      </w:r>
      <w:r w:rsidR="00F33A98">
        <w:rPr>
          <w:sz w:val="22"/>
          <w:szCs w:val="22"/>
          <w:u w:color="3F6797"/>
        </w:rPr>
        <w:t>o</w:t>
      </w:r>
      <w:r w:rsidR="00F33A98">
        <w:rPr>
          <w:sz w:val="22"/>
          <w:szCs w:val="22"/>
          <w:u w:color="3F6797"/>
        </w:rPr>
        <w:t>cati in modo tale da escludere che terzi possano averne la visione.</w:t>
      </w:r>
    </w:p>
    <w:p w:rsidR="00B500D5" w:rsidRDefault="00B500D5">
      <w:pPr>
        <w:pStyle w:val="Corpo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9"/>
          <w:tab w:val="left" w:pos="8640"/>
          <w:tab w:val="left" w:pos="9132"/>
        </w:tabs>
        <w:jc w:val="both"/>
        <w:rPr>
          <w:sz w:val="22"/>
          <w:szCs w:val="22"/>
          <w:u w:color="3F6797"/>
        </w:rPr>
      </w:pPr>
    </w:p>
    <w:p w:rsidR="00B500D5" w:rsidRDefault="009C4B81">
      <w:pPr>
        <w:pStyle w:val="Corpo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9"/>
          <w:tab w:val="left" w:pos="8640"/>
          <w:tab w:val="left" w:pos="9132"/>
        </w:tabs>
        <w:jc w:val="both"/>
      </w:pPr>
      <w:r>
        <w:rPr>
          <w:sz w:val="22"/>
          <w:szCs w:val="22"/>
          <w:u w:color="3F6797"/>
        </w:rPr>
        <w:t xml:space="preserve">È </w:t>
      </w:r>
      <w:r w:rsidR="00F33A98">
        <w:rPr>
          <w:sz w:val="22"/>
          <w:szCs w:val="22"/>
          <w:u w:color="3F6797"/>
        </w:rPr>
        <w:t>fatto divieto di utilizzare eventuali immagini acquisite dal sistema per qualsiasi scopo estraneo al presente incarico.</w:t>
      </w:r>
    </w:p>
    <w:sectPr w:rsidR="00B500D5" w:rsidSect="00B500D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D5" w:rsidRDefault="00B500D5" w:rsidP="00B500D5">
      <w:r>
        <w:separator/>
      </w:r>
    </w:p>
  </w:endnote>
  <w:endnote w:type="continuationSeparator" w:id="1">
    <w:p w:rsidR="00B500D5" w:rsidRDefault="00B500D5" w:rsidP="00B50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D5" w:rsidRDefault="00B500D5">
    <w:pPr>
      <w:pStyle w:val="IntestazioneepidipaginaA"/>
      <w:tabs>
        <w:tab w:val="clear" w:pos="9020"/>
        <w:tab w:val="center" w:pos="4819"/>
        <w:tab w:val="right" w:pos="9612"/>
      </w:tabs>
    </w:pPr>
  </w:p>
  <w:p w:rsidR="00B500D5" w:rsidRDefault="00F33A98">
    <w:pPr>
      <w:pStyle w:val="IntestazioneepidipaginaA"/>
      <w:tabs>
        <w:tab w:val="clear" w:pos="9020"/>
        <w:tab w:val="center" w:pos="4819"/>
        <w:tab w:val="right" w:pos="9612"/>
      </w:tabs>
    </w:pPr>
    <w:r>
      <w:rPr>
        <w:sz w:val="20"/>
        <w:szCs w:val="20"/>
      </w:rPr>
      <w:tab/>
    </w:r>
    <w:r w:rsidR="005C50F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5C50F4">
      <w:rPr>
        <w:sz w:val="20"/>
        <w:szCs w:val="20"/>
      </w:rPr>
      <w:fldChar w:fldCharType="separate"/>
    </w:r>
    <w:r w:rsidR="00874280">
      <w:rPr>
        <w:rFonts w:hint="eastAsia"/>
        <w:noProof/>
        <w:sz w:val="20"/>
        <w:szCs w:val="20"/>
      </w:rPr>
      <w:t>4</w:t>
    </w:r>
    <w:r w:rsidR="005C50F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D5" w:rsidRDefault="00B500D5" w:rsidP="00B500D5">
      <w:r>
        <w:separator/>
      </w:r>
    </w:p>
  </w:footnote>
  <w:footnote w:type="continuationSeparator" w:id="1">
    <w:p w:rsidR="00B500D5" w:rsidRDefault="00B500D5" w:rsidP="00B50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D5" w:rsidRDefault="00B500D5">
    <w:pPr>
      <w:pStyle w:val="IntestazioneepidipaginaA"/>
      <w:tabs>
        <w:tab w:val="clear" w:pos="9020"/>
        <w:tab w:val="center" w:pos="4819"/>
        <w:tab w:val="right" w:pos="961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E3"/>
    <w:multiLevelType w:val="hybridMultilevel"/>
    <w:tmpl w:val="98EAD80A"/>
    <w:numStyleLink w:val="Puntielenco"/>
  </w:abstractNum>
  <w:abstractNum w:abstractNumId="1">
    <w:nsid w:val="153A1275"/>
    <w:multiLevelType w:val="hybridMultilevel"/>
    <w:tmpl w:val="98EAD80A"/>
    <w:styleLink w:val="Puntielenco"/>
    <w:lvl w:ilvl="0" w:tplc="71E2608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243D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234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E0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A39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0A4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EB6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EE60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6199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615F5C"/>
    <w:multiLevelType w:val="hybridMultilevel"/>
    <w:tmpl w:val="1084E884"/>
    <w:styleLink w:val="Trattino"/>
    <w:lvl w:ilvl="0" w:tplc="D5084C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CEC842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F362D8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522FC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FAA3B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2A542AB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5C2F5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E3C496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2C645B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>
    <w:nsid w:val="75B15073"/>
    <w:multiLevelType w:val="hybridMultilevel"/>
    <w:tmpl w:val="1084E884"/>
    <w:numStyleLink w:val="Trattino"/>
  </w:abstractNum>
  <w:num w:numId="1">
    <w:abstractNumId w:val="1"/>
  </w:num>
  <w:num w:numId="2">
    <w:abstractNumId w:val="0"/>
  </w:num>
  <w:num w:numId="3">
    <w:abstractNumId w:val="0"/>
    <w:lvlOverride w:ilvl="0">
      <w:lvl w:ilvl="0" w:tplc="F366180A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E87D66">
        <w:start w:val="1"/>
        <w:numFmt w:val="bullet"/>
        <w:lvlText w:val="•"/>
        <w:lvlJc w:val="left"/>
        <w:pPr>
          <w:tabs>
            <w:tab w:val="left" w:pos="54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2419FE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81C8E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A8146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A4748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36B192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8A84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3C0658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F366180A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E87D66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2419FE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81C8E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A8146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A4748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36B192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8A84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3C0658">
        <w:start w:val="1"/>
        <w:numFmt w:val="bullet"/>
        <w:lvlText w:val="•"/>
        <w:lvlJc w:val="left"/>
        <w:pPr>
          <w:tabs>
            <w:tab w:val="left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9" w:hanging="189"/>
        </w:pPr>
        <w:rPr>
          <w:rFonts w:ascii="Century Gothic" w:eastAsia="Century Gothic" w:hAnsi="Century Gothic" w:cs="Century Gothic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0D5"/>
    <w:rsid w:val="004E0F96"/>
    <w:rsid w:val="004F7A36"/>
    <w:rsid w:val="005C50F4"/>
    <w:rsid w:val="00651F8A"/>
    <w:rsid w:val="00874280"/>
    <w:rsid w:val="008C51DF"/>
    <w:rsid w:val="00932667"/>
    <w:rsid w:val="009C4B81"/>
    <w:rsid w:val="00B500D5"/>
    <w:rsid w:val="00B906AE"/>
    <w:rsid w:val="00D561CF"/>
    <w:rsid w:val="00F3040A"/>
    <w:rsid w:val="00F3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00D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00D5"/>
    <w:rPr>
      <w:u w:val="single"/>
    </w:rPr>
  </w:style>
  <w:style w:type="table" w:customStyle="1" w:styleId="TableNormal">
    <w:name w:val="Table Normal"/>
    <w:rsid w:val="00B50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rsid w:val="00B500D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rsid w:val="00B500D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orpoA">
    <w:name w:val="Corpo A"/>
    <w:rsid w:val="00B500D5"/>
    <w:rPr>
      <w:rFonts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rsid w:val="00B500D5"/>
    <w:pPr>
      <w:numPr>
        <w:numId w:val="1"/>
      </w:numPr>
    </w:pPr>
  </w:style>
  <w:style w:type="numbering" w:customStyle="1" w:styleId="Trattino">
    <w:name w:val="Trattino"/>
    <w:rsid w:val="00B500D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Aste</dc:creator>
  <cp:lastModifiedBy>alessandro.aste</cp:lastModifiedBy>
  <cp:revision>10</cp:revision>
  <dcterms:created xsi:type="dcterms:W3CDTF">2019-02-23T16:58:00Z</dcterms:created>
  <dcterms:modified xsi:type="dcterms:W3CDTF">2019-02-27T08:19:00Z</dcterms:modified>
</cp:coreProperties>
</file>