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7B52" w:rsidRDefault="0018216B">
      <w:pPr>
        <w:spacing w:line="240" w:lineRule="auto"/>
        <w:jc w:val="center"/>
        <w:rPr>
          <w:rFonts w:ascii="Times New Roman" w:eastAsia="Times New Roman" w:hAnsi="Times New Roman" w:cs="Times New Roman"/>
          <w:b/>
          <w:bCs/>
          <w:caps/>
        </w:rPr>
      </w:pPr>
      <w:r>
        <w:rPr>
          <w:rFonts w:ascii="Times New Roman" w:hAnsi="Times New Roman"/>
          <w:b/>
          <w:bCs/>
          <w:caps/>
        </w:rPr>
        <w:t xml:space="preserve">ACCORDO </w:t>
      </w:r>
      <w:proofErr w:type="spellStart"/>
      <w:r>
        <w:rPr>
          <w:rFonts w:ascii="Times New Roman" w:hAnsi="Times New Roman"/>
          <w:b/>
          <w:bCs/>
          <w:caps/>
        </w:rPr>
        <w:t>DI</w:t>
      </w:r>
      <w:proofErr w:type="spellEnd"/>
      <w:r>
        <w:rPr>
          <w:rFonts w:ascii="Times New Roman" w:hAnsi="Times New Roman"/>
          <w:b/>
          <w:bCs/>
          <w:caps/>
        </w:rPr>
        <w:t xml:space="preserve"> </w:t>
      </w:r>
      <w:proofErr w:type="spellStart"/>
      <w:r>
        <w:rPr>
          <w:rFonts w:ascii="Times New Roman" w:hAnsi="Times New Roman"/>
          <w:b/>
          <w:bCs/>
          <w:caps/>
        </w:rPr>
        <w:t>CONTITOLARITÀ</w:t>
      </w:r>
      <w:proofErr w:type="spellEnd"/>
      <w:r>
        <w:rPr>
          <w:rFonts w:ascii="Times New Roman" w:hAnsi="Times New Roman"/>
          <w:b/>
          <w:bCs/>
          <w:caps/>
        </w:rPr>
        <w:t xml:space="preserve"> SUL TRATTAMENTO DEI DATI PERSONALI </w:t>
      </w:r>
    </w:p>
    <w:p w:rsidR="005B7B52" w:rsidRDefault="0018216B">
      <w:pPr>
        <w:spacing w:line="240" w:lineRule="auto"/>
        <w:jc w:val="center"/>
        <w:rPr>
          <w:rFonts w:ascii="Times New Roman" w:eastAsia="Times New Roman" w:hAnsi="Times New Roman" w:cs="Times New Roman"/>
          <w:b/>
          <w:bCs/>
          <w:caps/>
        </w:rPr>
      </w:pPr>
      <w:r>
        <w:rPr>
          <w:rFonts w:ascii="Times New Roman" w:hAnsi="Times New Roman"/>
          <w:b/>
          <w:bCs/>
          <w:caps/>
        </w:rPr>
        <w:t>AI SENSI DELL’ART. 26 DEL REGOLAMENTO UE 2016/679</w:t>
      </w:r>
    </w:p>
    <w:p w:rsidR="005B7B52" w:rsidRDefault="0018216B">
      <w:pPr>
        <w:spacing w:line="240" w:lineRule="auto"/>
        <w:jc w:val="center"/>
        <w:rPr>
          <w:rFonts w:ascii="Times New Roman" w:eastAsia="Times New Roman" w:hAnsi="Times New Roman" w:cs="Times New Roman"/>
          <w:b/>
          <w:bCs/>
          <w:caps/>
        </w:rPr>
      </w:pPr>
      <w:r>
        <w:rPr>
          <w:rFonts w:ascii="Times New Roman" w:hAnsi="Times New Roman"/>
          <w:b/>
          <w:bCs/>
          <w:caps/>
        </w:rPr>
        <w:t xml:space="preserve">E DELL’ART. 17 DEL DECRETO CEI “Disposizioni per il diritto alla buona fama e alla riservatezza” </w:t>
      </w:r>
    </w:p>
    <w:p w:rsidR="005B7B52" w:rsidRDefault="005B7B52">
      <w:pPr>
        <w:tabs>
          <w:tab w:val="left" w:pos="2871"/>
          <w:tab w:val="center" w:pos="4819"/>
        </w:tabs>
        <w:spacing w:line="240" w:lineRule="auto"/>
        <w:rPr>
          <w:rFonts w:ascii="Times New Roman" w:eastAsia="Times New Roman" w:hAnsi="Times New Roman" w:cs="Times New Roman"/>
        </w:rPr>
      </w:pPr>
    </w:p>
    <w:p w:rsidR="005B7B52" w:rsidRDefault="0018216B">
      <w:pPr>
        <w:tabs>
          <w:tab w:val="left" w:pos="2871"/>
          <w:tab w:val="center" w:pos="4819"/>
        </w:tabs>
        <w:spacing w:line="240" w:lineRule="auto"/>
        <w:rPr>
          <w:rFonts w:ascii="Times New Roman" w:eastAsia="Times New Roman" w:hAnsi="Times New Roman" w:cs="Times New Roman"/>
          <w:b/>
          <w:bCs/>
        </w:rPr>
      </w:pPr>
      <w:r>
        <w:rPr>
          <w:rFonts w:ascii="Times New Roman" w:hAnsi="Times New Roman"/>
          <w:b/>
          <w:bCs/>
        </w:rPr>
        <w:t>concluso tra</w:t>
      </w:r>
    </w:p>
    <w:p w:rsidR="005B7B52" w:rsidRDefault="005B7B52">
      <w:pPr>
        <w:tabs>
          <w:tab w:val="left" w:pos="2871"/>
          <w:tab w:val="center" w:pos="4819"/>
        </w:tabs>
        <w:spacing w:line="240" w:lineRule="auto"/>
        <w:rPr>
          <w:rFonts w:ascii="Times New Roman" w:eastAsia="Times New Roman" w:hAnsi="Times New Roman" w:cs="Times New Roman"/>
          <w:b/>
          <w:bCs/>
        </w:rPr>
      </w:pPr>
    </w:p>
    <w:p w:rsidR="005B7B52" w:rsidRDefault="0018216B">
      <w:pPr>
        <w:spacing w:line="240" w:lineRule="auto"/>
        <w:rPr>
          <w:rFonts w:ascii="Times New Roman" w:eastAsia="Times New Roman" w:hAnsi="Times New Roman" w:cs="Times New Roman"/>
        </w:rPr>
      </w:pPr>
      <w:r w:rsidRPr="005D1C53">
        <w:rPr>
          <w:rFonts w:ascii="Times New Roman" w:hAnsi="Times New Roman"/>
          <w:highlight w:val="green"/>
        </w:rPr>
        <w:t>…</w:t>
      </w:r>
    </w:p>
    <w:p w:rsidR="005B7B52" w:rsidRDefault="005B7B52">
      <w:pPr>
        <w:spacing w:line="240" w:lineRule="auto"/>
        <w:rPr>
          <w:rFonts w:ascii="Times New Roman" w:eastAsia="Times New Roman" w:hAnsi="Times New Roman" w:cs="Times New Roman"/>
        </w:rPr>
      </w:pPr>
    </w:p>
    <w:p w:rsidR="005B7B52" w:rsidRDefault="0018216B">
      <w:pPr>
        <w:spacing w:line="240" w:lineRule="auto"/>
        <w:jc w:val="center"/>
        <w:rPr>
          <w:rFonts w:ascii="Times New Roman" w:eastAsia="Times New Roman" w:hAnsi="Times New Roman" w:cs="Times New Roman"/>
          <w:b/>
          <w:bCs/>
        </w:rPr>
      </w:pPr>
      <w:r>
        <w:rPr>
          <w:rFonts w:ascii="Times New Roman" w:hAnsi="Times New Roman"/>
          <w:b/>
          <w:bCs/>
        </w:rPr>
        <w:t>e</w:t>
      </w:r>
    </w:p>
    <w:p w:rsidR="005B7B52" w:rsidRDefault="0018216B">
      <w:pPr>
        <w:spacing w:line="240" w:lineRule="auto"/>
        <w:rPr>
          <w:rFonts w:ascii="Times New Roman" w:eastAsia="Times New Roman" w:hAnsi="Times New Roman" w:cs="Times New Roman"/>
        </w:rPr>
      </w:pPr>
      <w:r w:rsidRPr="005D1C53">
        <w:rPr>
          <w:rFonts w:ascii="Times New Roman" w:hAnsi="Times New Roman"/>
          <w:highlight w:val="green"/>
        </w:rPr>
        <w:t>…</w:t>
      </w:r>
    </w:p>
    <w:p w:rsidR="005B7B52" w:rsidRDefault="005B7B52">
      <w:pPr>
        <w:tabs>
          <w:tab w:val="left" w:pos="2871"/>
          <w:tab w:val="center" w:pos="4819"/>
        </w:tabs>
        <w:spacing w:line="240" w:lineRule="auto"/>
        <w:rPr>
          <w:rFonts w:ascii="Times New Roman" w:eastAsia="Times New Roman" w:hAnsi="Times New Roman" w:cs="Times New Roman"/>
        </w:rPr>
      </w:pPr>
    </w:p>
    <w:p w:rsidR="005B7B52" w:rsidRDefault="005B7B52">
      <w:pPr>
        <w:pStyle w:val="Titolo4"/>
        <w:spacing w:before="0" w:line="240" w:lineRule="auto"/>
        <w:jc w:val="center"/>
        <w:rPr>
          <w:rFonts w:ascii="Times New Roman" w:eastAsia="Times New Roman" w:hAnsi="Times New Roman" w:cs="Times New Roman"/>
          <w:color w:val="00222D"/>
          <w:u w:color="00222D"/>
        </w:rPr>
      </w:pPr>
    </w:p>
    <w:p w:rsidR="005B7B52" w:rsidRDefault="0018216B">
      <w:pPr>
        <w:pStyle w:val="Paragrafoelenco"/>
        <w:tabs>
          <w:tab w:val="left" w:pos="2871"/>
          <w:tab w:val="center" w:pos="4819"/>
        </w:tabs>
        <w:spacing w:line="240" w:lineRule="auto"/>
        <w:ind w:left="0"/>
        <w:jc w:val="both"/>
        <w:rPr>
          <w:rFonts w:ascii="Times New Roman" w:eastAsia="Times New Roman" w:hAnsi="Times New Roman" w:cs="Times New Roman"/>
        </w:rPr>
      </w:pPr>
      <w:r>
        <w:rPr>
          <w:rFonts w:ascii="Times New Roman" w:hAnsi="Times New Roman"/>
        </w:rPr>
        <w:t>I</w:t>
      </w:r>
      <w:r>
        <w:rPr>
          <w:rFonts w:ascii="Times New Roman" w:hAnsi="Times New Roman"/>
          <w:color w:val="00222D"/>
          <w:u w:color="00222D"/>
        </w:rPr>
        <w:t xml:space="preserve">n ragione del rapporto in essere </w:t>
      </w:r>
      <w:r>
        <w:rPr>
          <w:rFonts w:ascii="Times New Roman" w:hAnsi="Times New Roman"/>
        </w:rPr>
        <w:t>le parti hanno ritenuto che i dati personali trattati in esecuzione delle a</w:t>
      </w:r>
      <w:r>
        <w:rPr>
          <w:rFonts w:ascii="Times New Roman" w:hAnsi="Times New Roman"/>
        </w:rPr>
        <w:t>t</w:t>
      </w:r>
      <w:r>
        <w:rPr>
          <w:rFonts w:ascii="Times New Roman" w:hAnsi="Times New Roman"/>
        </w:rPr>
        <w:t>tività oggetto del predetto rapporto verranno gestiti conformemente all’art. 26 Regolamento EU 2016/679 e 17 del Decreto CEI “Disposizioni per il diritto alla buona fama e alla riservatezza”  in regime di titolar</w:t>
      </w:r>
      <w:r>
        <w:rPr>
          <w:rFonts w:ascii="Times New Roman" w:hAnsi="Times New Roman"/>
        </w:rPr>
        <w:t>i</w:t>
      </w:r>
      <w:r>
        <w:rPr>
          <w:rFonts w:ascii="Times New Roman" w:hAnsi="Times New Roman"/>
        </w:rPr>
        <w:t>tà congiunta (di seguito “contitolarità”).</w:t>
      </w:r>
    </w:p>
    <w:p w:rsidR="005B7B52" w:rsidRDefault="0018216B">
      <w:pPr>
        <w:shd w:val="clear" w:color="auto" w:fill="FFFFFF"/>
        <w:spacing w:after="227" w:line="240" w:lineRule="auto"/>
        <w:rPr>
          <w:rFonts w:ascii="Times New Roman" w:eastAsia="Times New Roman" w:hAnsi="Times New Roman" w:cs="Times New Roman"/>
        </w:rPr>
      </w:pPr>
      <w:r>
        <w:rPr>
          <w:rFonts w:ascii="Times New Roman" w:hAnsi="Times New Roman"/>
        </w:rPr>
        <w:t>Il rapporto di contitolarità si rende necessario al fine di ottimizzare i servizi erogati, garantendo l’uniformità dell’utilizzo dei dati degli interessati ed individuando gli ambiti di intervento e di attività di ognuna delle parti in relazione al trattamento svolto.</w:t>
      </w:r>
    </w:p>
    <w:p w:rsidR="005B7B52" w:rsidRDefault="0018216B">
      <w:pPr>
        <w:shd w:val="clear" w:color="auto" w:fill="FFFFFF"/>
        <w:tabs>
          <w:tab w:val="left" w:pos="4536"/>
        </w:tabs>
        <w:spacing w:after="227" w:line="240" w:lineRule="auto"/>
        <w:rPr>
          <w:rFonts w:ascii="Times New Roman" w:eastAsia="Times New Roman" w:hAnsi="Times New Roman" w:cs="Times New Roman"/>
        </w:rPr>
      </w:pPr>
      <w:r>
        <w:rPr>
          <w:rFonts w:ascii="Times New Roman" w:hAnsi="Times New Roman"/>
        </w:rPr>
        <w:t>Il rapporto di contitolarità avrà ad oggetto le seguenti tipologie di dati:</w:t>
      </w:r>
    </w:p>
    <w:tbl>
      <w:tblPr>
        <w:tblStyle w:val="TableNormal"/>
        <w:tblW w:w="93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615"/>
        <w:gridCol w:w="3486"/>
        <w:gridCol w:w="3249"/>
      </w:tblGrid>
      <w:tr w:rsidR="005B7B52">
        <w:trPr>
          <w:trHeight w:val="609"/>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18216B">
            <w:pPr>
              <w:jc w:val="center"/>
            </w:pPr>
            <w:r>
              <w:rPr>
                <w:rFonts w:ascii="Lato" w:eastAsia="Lato" w:hAnsi="Lato" w:cs="Lato"/>
                <w:b/>
                <w:bCs/>
                <w:color w:val="00222D"/>
                <w:sz w:val="21"/>
                <w:szCs w:val="21"/>
                <w:u w:color="00222D"/>
              </w:rPr>
              <w:t>NATURA DEI DATI</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18216B">
            <w:pPr>
              <w:jc w:val="center"/>
            </w:pPr>
            <w:r>
              <w:rPr>
                <w:rFonts w:ascii="Lato" w:eastAsia="Lato" w:hAnsi="Lato" w:cs="Lato"/>
                <w:b/>
                <w:bCs/>
                <w:color w:val="00222D"/>
                <w:sz w:val="21"/>
                <w:szCs w:val="21"/>
                <w:u w:color="00222D"/>
              </w:rPr>
              <w:t xml:space="preserve">CATEGORIE </w:t>
            </w:r>
            <w:proofErr w:type="spellStart"/>
            <w:r>
              <w:rPr>
                <w:rFonts w:ascii="Lato" w:eastAsia="Lato" w:hAnsi="Lato" w:cs="Lato"/>
                <w:b/>
                <w:bCs/>
                <w:color w:val="00222D"/>
                <w:sz w:val="21"/>
                <w:szCs w:val="21"/>
                <w:u w:color="00222D"/>
              </w:rPr>
              <w:t>DI</w:t>
            </w:r>
            <w:proofErr w:type="spellEnd"/>
            <w:r>
              <w:rPr>
                <w:rFonts w:ascii="Lato" w:eastAsia="Lato" w:hAnsi="Lato" w:cs="Lato"/>
                <w:b/>
                <w:bCs/>
                <w:color w:val="00222D"/>
                <w:sz w:val="21"/>
                <w:szCs w:val="21"/>
                <w:u w:color="00222D"/>
              </w:rPr>
              <w:t xml:space="preserve"> SOGGETTI INTERESSATI</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18216B">
            <w:pPr>
              <w:jc w:val="center"/>
            </w:pPr>
            <w:r>
              <w:rPr>
                <w:rFonts w:ascii="Lato" w:eastAsia="Lato" w:hAnsi="Lato" w:cs="Lato"/>
                <w:b/>
                <w:bCs/>
                <w:color w:val="00222D"/>
                <w:sz w:val="21"/>
                <w:szCs w:val="21"/>
                <w:u w:color="00222D"/>
              </w:rPr>
              <w:t>TIPOLOGIA E FINALITÀ DEL TRATTAMENTO</w:t>
            </w:r>
          </w:p>
        </w:tc>
      </w:tr>
      <w:tr w:rsidR="005B7B52">
        <w:trPr>
          <w:trHeight w:val="283"/>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r>
      <w:tr w:rsidR="005B7B52">
        <w:trPr>
          <w:trHeight w:val="283"/>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r>
      <w:tr w:rsidR="005B7B52">
        <w:trPr>
          <w:trHeight w:val="283"/>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7B52" w:rsidRDefault="005B7B52"/>
        </w:tc>
      </w:tr>
    </w:tbl>
    <w:p w:rsidR="005B7B52" w:rsidRDefault="005B7B52">
      <w:pPr>
        <w:shd w:val="clear" w:color="auto" w:fill="FFFFFF"/>
        <w:tabs>
          <w:tab w:val="left" w:pos="4536"/>
        </w:tabs>
        <w:spacing w:after="227" w:line="240" w:lineRule="auto"/>
        <w:ind w:left="432" w:hanging="432"/>
        <w:jc w:val="left"/>
        <w:rPr>
          <w:rFonts w:ascii="Times New Roman" w:eastAsia="Times New Roman" w:hAnsi="Times New Roman" w:cs="Times New Roman"/>
        </w:rPr>
      </w:pPr>
    </w:p>
    <w:p w:rsidR="005B7B52" w:rsidRDefault="0018216B">
      <w:pPr>
        <w:tabs>
          <w:tab w:val="left" w:pos="720"/>
        </w:tabs>
        <w:spacing w:line="240" w:lineRule="auto"/>
        <w:rPr>
          <w:rFonts w:ascii="Times New Roman" w:eastAsia="Times New Roman" w:hAnsi="Times New Roman" w:cs="Times New Roman"/>
        </w:rPr>
      </w:pPr>
      <w:r>
        <w:rPr>
          <w:rFonts w:ascii="Times New Roman" w:hAnsi="Times New Roman"/>
        </w:rPr>
        <w:t>In conformità a quanto stabilito dall’art. 26 Regolamento EU 2016/679 e dell’art. 17 del sopra citato Decreto CEI, le parti, sulla scorta della tabella che precede, disciplinano come segue i rispettivi ruoli, funzioni e responsabilità.</w:t>
      </w:r>
    </w:p>
    <w:p w:rsidR="005B7B52" w:rsidRDefault="005B7B52">
      <w:pPr>
        <w:tabs>
          <w:tab w:val="left" w:pos="720"/>
        </w:tabs>
        <w:spacing w:line="240" w:lineRule="auto"/>
        <w:rPr>
          <w:rFonts w:ascii="Times New Roman" w:eastAsia="Times New Roman" w:hAnsi="Times New Roman" w:cs="Times New Roman"/>
        </w:rPr>
      </w:pP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la determinazione delle finalità e dei mezzi del trattamento dei dati è effettuata dalle Parti in ra</w:t>
      </w:r>
      <w:r>
        <w:rPr>
          <w:rFonts w:ascii="Times New Roman" w:hAnsi="Times New Roman"/>
        </w:rPr>
        <w:t>p</w:t>
      </w:r>
      <w:r>
        <w:rPr>
          <w:rFonts w:ascii="Times New Roman" w:hAnsi="Times New Roman"/>
        </w:rPr>
        <w:t>porto di contitolarità;</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l’individuazione della tipologia di dati degli interessati, nonché le relative scelte inerenti al tra</w:t>
      </w:r>
      <w:r>
        <w:rPr>
          <w:rFonts w:ascii="Times New Roman" w:hAnsi="Times New Roman"/>
        </w:rPr>
        <w:t>t</w:t>
      </w:r>
      <w:r>
        <w:rPr>
          <w:rFonts w:ascii="Times New Roman" w:hAnsi="Times New Roman"/>
        </w:rPr>
        <w:t>tamento degli stessi è effettuata dalle parti in rapporto di contitolarità;</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l’individuazione e la nomina dei soggetti autorizzati alla gestione dei dati e del presente accordo è svolta autonomamente da ogni parte nell’ambito della propria struttura;</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la determinazione delle misure tecnico-organizzative (previa analisi dei rischi) e, ove necessario, la valutazione d'impatto sulla protezione, la revisione e l’aggiornamento dei dati sarà effettuata autonomamente dalle parti;</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lastRenderedPageBreak/>
        <w:t>l’eventuale consultazione preventiva dell'autorità di controllo e la trasmissione dei dati necessari alla medesima sarà effettuata dalle parti in rapporto di contitolarità;</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la nomina di un responsabile del trattamento dei dati personali (</w:t>
      </w:r>
      <w:proofErr w:type="spellStart"/>
      <w:r>
        <w:rPr>
          <w:rFonts w:ascii="Times New Roman" w:hAnsi="Times New Roman"/>
        </w:rPr>
        <w:t>DPO</w:t>
      </w:r>
      <w:proofErr w:type="spellEnd"/>
      <w:r>
        <w:rPr>
          <w:rFonts w:ascii="Times New Roman" w:hAnsi="Times New Roman"/>
        </w:rPr>
        <w:t xml:space="preserve"> – </w:t>
      </w:r>
      <w:r>
        <w:rPr>
          <w:rFonts w:ascii="Times New Roman" w:hAnsi="Times New Roman"/>
          <w:i/>
          <w:iCs/>
        </w:rPr>
        <w:t xml:space="preserve">Data </w:t>
      </w:r>
      <w:proofErr w:type="spellStart"/>
      <w:r>
        <w:rPr>
          <w:rFonts w:ascii="Times New Roman" w:hAnsi="Times New Roman"/>
          <w:i/>
          <w:iCs/>
        </w:rPr>
        <w:t>Protection</w:t>
      </w:r>
      <w:proofErr w:type="spellEnd"/>
      <w:r>
        <w:rPr>
          <w:rFonts w:ascii="Times New Roman" w:hAnsi="Times New Roman"/>
          <w:i/>
          <w:iCs/>
        </w:rPr>
        <w:t xml:space="preserve"> </w:t>
      </w:r>
      <w:proofErr w:type="spellStart"/>
      <w:r>
        <w:rPr>
          <w:rFonts w:ascii="Times New Roman" w:hAnsi="Times New Roman"/>
          <w:i/>
          <w:iCs/>
        </w:rPr>
        <w:t>Officer</w:t>
      </w:r>
      <w:proofErr w:type="spellEnd"/>
      <w:r>
        <w:rPr>
          <w:rFonts w:ascii="Times New Roman" w:hAnsi="Times New Roman"/>
        </w:rPr>
        <w:t>) e relativi oneri sarà effettuata autonomamente dalle singole Parti, in riferimento sia alle attività svolte in base al presente accordo, sia in relazione alla singole attività di trattamento svolte in a</w:t>
      </w:r>
      <w:r>
        <w:rPr>
          <w:rFonts w:ascii="Times New Roman" w:hAnsi="Times New Roman"/>
        </w:rPr>
        <w:t>u</w:t>
      </w:r>
      <w:r>
        <w:rPr>
          <w:rFonts w:ascii="Times New Roman" w:hAnsi="Times New Roman"/>
        </w:rPr>
        <w:t>tonomia;</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la gestione e la tenuta della documentazione relativa all’adozione delle misure tecnico-organizzative, quale prova da fornire all’autorità di controllo, sarà effettuata autonomamente dalle Parti;</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 xml:space="preserve">l’individuazione e la nomina dei responsabili esterni, dei </w:t>
      </w:r>
      <w:proofErr w:type="spellStart"/>
      <w:r>
        <w:rPr>
          <w:rFonts w:ascii="Times New Roman" w:hAnsi="Times New Roman"/>
        </w:rPr>
        <w:t>subresponsabili</w:t>
      </w:r>
      <w:proofErr w:type="spellEnd"/>
      <w:r>
        <w:rPr>
          <w:rFonts w:ascii="Times New Roman" w:hAnsi="Times New Roman"/>
        </w:rPr>
        <w:t xml:space="preserve"> e delle persone autori</w:t>
      </w:r>
      <w:r>
        <w:rPr>
          <w:rFonts w:ascii="Times New Roman" w:hAnsi="Times New Roman"/>
        </w:rPr>
        <w:t>z</w:t>
      </w:r>
      <w:r>
        <w:rPr>
          <w:rFonts w:ascii="Times New Roman" w:hAnsi="Times New Roman"/>
        </w:rPr>
        <w:t>zate al trattamento sono effettuate autonomamente dalle Parti e i relativi dati sono conservati presso le medesime, fatti salvi gli obblighi di informazione reciproca derivanti dalla corretta es</w:t>
      </w:r>
      <w:r>
        <w:rPr>
          <w:rFonts w:ascii="Times New Roman" w:hAnsi="Times New Roman"/>
        </w:rPr>
        <w:t>e</w:t>
      </w:r>
      <w:r>
        <w:rPr>
          <w:rFonts w:ascii="Times New Roman" w:hAnsi="Times New Roman"/>
        </w:rPr>
        <w:t>cuzione del presente accordo;</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la gestione e la tenuta del registro delle attività di trattamento è effettuata autonomamente dalle Parti;</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la notifica all'autorità di controllo in caso di una violazione dei dati personali sarà effettuata da ciascuna parte;</w:t>
      </w:r>
    </w:p>
    <w:p w:rsidR="005B7B52" w:rsidRDefault="0018216B">
      <w:pPr>
        <w:pStyle w:val="Paragrafoelenco"/>
        <w:numPr>
          <w:ilvl w:val="0"/>
          <w:numId w:val="2"/>
        </w:numPr>
        <w:spacing w:after="160" w:line="240" w:lineRule="auto"/>
        <w:jc w:val="both"/>
        <w:rPr>
          <w:rFonts w:ascii="Times New Roman" w:hAnsi="Times New Roman"/>
        </w:rPr>
      </w:pPr>
      <w:r>
        <w:rPr>
          <w:rFonts w:ascii="Times New Roman" w:hAnsi="Times New Roman"/>
        </w:rPr>
        <w:t>l’individuazione dei tempi di conservazione dei dati degli interessati viene concordata congiu</w:t>
      </w:r>
      <w:r>
        <w:rPr>
          <w:rFonts w:ascii="Times New Roman" w:hAnsi="Times New Roman"/>
        </w:rPr>
        <w:t>n</w:t>
      </w:r>
      <w:r>
        <w:rPr>
          <w:rFonts w:ascii="Times New Roman" w:hAnsi="Times New Roman"/>
        </w:rPr>
        <w:t>tamente tra le parti.</w:t>
      </w:r>
    </w:p>
    <w:p w:rsidR="005B7B52" w:rsidRDefault="005B7B52">
      <w:pPr>
        <w:tabs>
          <w:tab w:val="left" w:pos="720"/>
        </w:tabs>
        <w:spacing w:line="240" w:lineRule="auto"/>
        <w:rPr>
          <w:rFonts w:ascii="Times New Roman" w:eastAsia="Times New Roman" w:hAnsi="Times New Roman" w:cs="Times New Roman"/>
        </w:rPr>
      </w:pPr>
    </w:p>
    <w:p w:rsidR="005B7B52" w:rsidRDefault="0018216B">
      <w:pPr>
        <w:tabs>
          <w:tab w:val="left" w:pos="720"/>
        </w:tabs>
        <w:spacing w:line="240" w:lineRule="auto"/>
        <w:rPr>
          <w:rFonts w:ascii="Times New Roman" w:eastAsia="Times New Roman" w:hAnsi="Times New Roman" w:cs="Times New Roman"/>
          <w:b/>
          <w:bCs/>
        </w:rPr>
      </w:pPr>
      <w:r>
        <w:rPr>
          <w:rFonts w:ascii="Times New Roman" w:hAnsi="Times New Roman"/>
          <w:b/>
          <w:bCs/>
        </w:rPr>
        <w:t>Obblighi per le parti derivanti dall’esercizio dei diritti dell’interessato</w:t>
      </w:r>
    </w:p>
    <w:p w:rsidR="005B7B52" w:rsidRDefault="0018216B">
      <w:pPr>
        <w:tabs>
          <w:tab w:val="left" w:pos="2871"/>
          <w:tab w:val="center" w:pos="4819"/>
        </w:tabs>
        <w:spacing w:line="240" w:lineRule="auto"/>
        <w:rPr>
          <w:rFonts w:ascii="Times New Roman" w:eastAsia="Times New Roman" w:hAnsi="Times New Roman" w:cs="Times New Roman"/>
        </w:rPr>
      </w:pPr>
      <w:r>
        <w:rPr>
          <w:rFonts w:ascii="Times New Roman" w:hAnsi="Times New Roman"/>
        </w:rPr>
        <w:t>In riferimento all’esercizio dei diritti da parte dell’interessato e degli obblighi conseguenti, le parti stabiliscono la seguente suddivisione degli adempimenti connessi:</w:t>
      </w:r>
    </w:p>
    <w:p w:rsidR="005B7B52" w:rsidRDefault="005B7B52">
      <w:pPr>
        <w:tabs>
          <w:tab w:val="left" w:pos="2871"/>
          <w:tab w:val="center" w:pos="4819"/>
        </w:tabs>
        <w:spacing w:line="240" w:lineRule="auto"/>
        <w:rPr>
          <w:rFonts w:ascii="Times New Roman" w:eastAsia="Times New Roman" w:hAnsi="Times New Roman" w:cs="Times New Roman"/>
        </w:rPr>
      </w:pPr>
    </w:p>
    <w:p w:rsidR="005B7B52" w:rsidRDefault="0018216B">
      <w:pPr>
        <w:pStyle w:val="Paragrafoelenco"/>
        <w:numPr>
          <w:ilvl w:val="0"/>
          <w:numId w:val="4"/>
        </w:numPr>
        <w:spacing w:after="160" w:line="240" w:lineRule="auto"/>
        <w:jc w:val="both"/>
        <w:rPr>
          <w:rFonts w:ascii="Times New Roman" w:hAnsi="Times New Roman"/>
        </w:rPr>
      </w:pPr>
      <w:r>
        <w:rPr>
          <w:rFonts w:ascii="Times New Roman" w:hAnsi="Times New Roman"/>
        </w:rPr>
        <w:t>l’eventuale comunicazione del contenuto essenziale dell'accordo di contitolarità agli interessati sarà effettuata da ciascuna parte;</w:t>
      </w:r>
    </w:p>
    <w:p w:rsidR="005B7B52" w:rsidRDefault="0018216B">
      <w:pPr>
        <w:pStyle w:val="Paragrafoelenco"/>
        <w:numPr>
          <w:ilvl w:val="0"/>
          <w:numId w:val="4"/>
        </w:numPr>
        <w:spacing w:after="160" w:line="240" w:lineRule="auto"/>
        <w:jc w:val="both"/>
        <w:rPr>
          <w:rFonts w:ascii="Times New Roman" w:hAnsi="Times New Roman"/>
        </w:rPr>
      </w:pPr>
      <w:r>
        <w:rPr>
          <w:rFonts w:ascii="Times New Roman" w:hAnsi="Times New Roman"/>
        </w:rPr>
        <w:t>l’obbligo d’informazione all’interessato sarà effettuato dalla parte che raccoglie i dati al momento della raccolta;</w:t>
      </w:r>
    </w:p>
    <w:p w:rsidR="005B7B52" w:rsidRDefault="0018216B">
      <w:pPr>
        <w:pStyle w:val="Paragrafoelenco"/>
        <w:numPr>
          <w:ilvl w:val="0"/>
          <w:numId w:val="4"/>
        </w:numPr>
        <w:spacing w:after="160" w:line="240" w:lineRule="auto"/>
        <w:jc w:val="both"/>
        <w:rPr>
          <w:rFonts w:ascii="Times New Roman" w:hAnsi="Times New Roman"/>
        </w:rPr>
      </w:pPr>
      <w:r>
        <w:rPr>
          <w:rFonts w:ascii="Times New Roman" w:hAnsi="Times New Roman"/>
        </w:rPr>
        <w:t>l’obbligo di risposta derivante dalle richieste di esercizio dei diritti dell’interessato sarà effettuata dalla parte che avrà materialmente provveduto all’obbligo d’informazione di cui sopra;</w:t>
      </w:r>
    </w:p>
    <w:p w:rsidR="005B7B52" w:rsidRDefault="0018216B">
      <w:pPr>
        <w:pStyle w:val="Paragrafoelenco"/>
        <w:numPr>
          <w:ilvl w:val="0"/>
          <w:numId w:val="4"/>
        </w:numPr>
        <w:spacing w:after="160" w:line="240" w:lineRule="auto"/>
        <w:jc w:val="both"/>
        <w:rPr>
          <w:rFonts w:ascii="Times New Roman" w:hAnsi="Times New Roman"/>
        </w:rPr>
      </w:pPr>
      <w:r>
        <w:rPr>
          <w:rFonts w:ascii="Times New Roman" w:hAnsi="Times New Roman"/>
        </w:rPr>
        <w:t>il punto di contatto cui potranno rivolgersi gli utenti finali per qualsiasi questione relativa alla protezione dei dati, che consegua o sia in qualche modo connessa</w:t>
      </w:r>
      <w:r>
        <w:rPr>
          <w:rFonts w:ascii="Times New Roman" w:hAnsi="Times New Roman"/>
          <w:b/>
          <w:bCs/>
        </w:rPr>
        <w:t xml:space="preserve"> </w:t>
      </w:r>
      <w:r>
        <w:rPr>
          <w:rFonts w:ascii="Times New Roman" w:hAnsi="Times New Roman"/>
        </w:rPr>
        <w:t>al presente accordo, verrà forn</w:t>
      </w:r>
      <w:r>
        <w:rPr>
          <w:rFonts w:ascii="Times New Roman" w:hAnsi="Times New Roman"/>
        </w:rPr>
        <w:t>i</w:t>
      </w:r>
      <w:r>
        <w:rPr>
          <w:rFonts w:ascii="Times New Roman" w:hAnsi="Times New Roman"/>
        </w:rPr>
        <w:t>to dalla parte che raccoglie i dati;</w:t>
      </w:r>
    </w:p>
    <w:p w:rsidR="005B7B52" w:rsidRDefault="0018216B">
      <w:pPr>
        <w:pStyle w:val="Paragrafoelenco"/>
        <w:numPr>
          <w:ilvl w:val="0"/>
          <w:numId w:val="5"/>
        </w:numPr>
        <w:spacing w:after="160" w:line="240" w:lineRule="auto"/>
        <w:jc w:val="both"/>
        <w:rPr>
          <w:rFonts w:ascii="Times New Roman" w:hAnsi="Times New Roman"/>
        </w:rPr>
      </w:pPr>
      <w:r>
        <w:rPr>
          <w:rFonts w:ascii="Times New Roman" w:hAnsi="Times New Roman"/>
        </w:rPr>
        <w:t xml:space="preserve">la comunicazione all'interessato in caso di una violazione dei dati personali sarà effettuata dalla parte che avrà materialmente subito il data </w:t>
      </w:r>
      <w:proofErr w:type="spellStart"/>
      <w:r>
        <w:rPr>
          <w:rFonts w:ascii="Times New Roman" w:hAnsi="Times New Roman"/>
        </w:rPr>
        <w:t>breach</w:t>
      </w:r>
      <w:proofErr w:type="spellEnd"/>
      <w:r>
        <w:rPr>
          <w:rFonts w:ascii="Times New Roman" w:hAnsi="Times New Roman"/>
        </w:rPr>
        <w:t xml:space="preserve"> tramite il responsabile della protezione dei dati personali (</w:t>
      </w:r>
      <w:proofErr w:type="spellStart"/>
      <w:r>
        <w:rPr>
          <w:rFonts w:ascii="Times New Roman" w:hAnsi="Times New Roman"/>
        </w:rPr>
        <w:t>DPO</w:t>
      </w:r>
      <w:proofErr w:type="spellEnd"/>
      <w:r>
        <w:rPr>
          <w:rFonts w:ascii="Times New Roman" w:hAnsi="Times New Roman"/>
        </w:rPr>
        <w:t>).</w:t>
      </w:r>
    </w:p>
    <w:p w:rsidR="005B7B52" w:rsidRDefault="0018216B">
      <w:pPr>
        <w:tabs>
          <w:tab w:val="left" w:pos="2871"/>
          <w:tab w:val="center" w:pos="4819"/>
        </w:tabs>
        <w:spacing w:line="240" w:lineRule="auto"/>
        <w:rPr>
          <w:rFonts w:ascii="Times New Roman" w:eastAsia="Times New Roman" w:hAnsi="Times New Roman" w:cs="Times New Roman"/>
          <w:b/>
          <w:bCs/>
        </w:rPr>
      </w:pPr>
      <w:r>
        <w:rPr>
          <w:rFonts w:ascii="Times New Roman" w:hAnsi="Times New Roman"/>
          <w:b/>
          <w:bCs/>
        </w:rPr>
        <w:t xml:space="preserve">Ripartizione interna della responsabilità  </w:t>
      </w:r>
    </w:p>
    <w:p w:rsidR="005B7B52" w:rsidRDefault="0018216B">
      <w:pPr>
        <w:tabs>
          <w:tab w:val="left" w:pos="2871"/>
          <w:tab w:val="center" w:pos="4819"/>
        </w:tabs>
        <w:spacing w:line="240" w:lineRule="auto"/>
        <w:rPr>
          <w:rFonts w:ascii="Times New Roman" w:eastAsia="Times New Roman" w:hAnsi="Times New Roman" w:cs="Times New Roman"/>
        </w:rPr>
      </w:pPr>
      <w:r>
        <w:rPr>
          <w:rFonts w:ascii="Times New Roman" w:hAnsi="Times New Roman"/>
        </w:rPr>
        <w:t xml:space="preserve">A prescindere da quanto previsto dalla legge in ordine alle responsabilità di natura penale, amministrativa o civile verso terzi, le parti concordano che, nel loro rapporto interno, ciascuna di esse potrà essere ritenuta responsabile unicamente in relazione alle attività rientranti nel proprio ambito di competenza in conformità alla ripartizione interna delle rispettive funzioni, ruoli, obblighi e responsabilità. </w:t>
      </w:r>
    </w:p>
    <w:p w:rsidR="005B7B52" w:rsidRDefault="005B7B52">
      <w:pPr>
        <w:tabs>
          <w:tab w:val="left" w:pos="2871"/>
          <w:tab w:val="center" w:pos="4819"/>
        </w:tabs>
        <w:spacing w:line="240" w:lineRule="auto"/>
        <w:rPr>
          <w:rFonts w:ascii="Times New Roman" w:eastAsia="Times New Roman" w:hAnsi="Times New Roman" w:cs="Times New Roman"/>
        </w:rPr>
      </w:pPr>
    </w:p>
    <w:p w:rsidR="005B7B52" w:rsidRDefault="0018216B">
      <w:pPr>
        <w:tabs>
          <w:tab w:val="left" w:pos="2871"/>
          <w:tab w:val="center" w:pos="4819"/>
        </w:tabs>
        <w:spacing w:line="240" w:lineRule="auto"/>
        <w:rPr>
          <w:rFonts w:ascii="Times New Roman" w:eastAsia="Times New Roman" w:hAnsi="Times New Roman" w:cs="Times New Roman"/>
          <w:b/>
          <w:bCs/>
        </w:rPr>
      </w:pPr>
      <w:r>
        <w:rPr>
          <w:rFonts w:ascii="Times New Roman" w:hAnsi="Times New Roman"/>
          <w:b/>
          <w:bCs/>
        </w:rPr>
        <w:t>Obbligo di riservatezza</w:t>
      </w:r>
    </w:p>
    <w:p w:rsidR="005B7B52" w:rsidRDefault="0018216B">
      <w:pPr>
        <w:tabs>
          <w:tab w:val="left" w:pos="2871"/>
          <w:tab w:val="center" w:pos="4819"/>
        </w:tabs>
        <w:spacing w:line="240" w:lineRule="auto"/>
        <w:rPr>
          <w:rFonts w:ascii="Times New Roman" w:eastAsia="Times New Roman" w:hAnsi="Times New Roman" w:cs="Times New Roman"/>
        </w:rPr>
      </w:pPr>
      <w:r>
        <w:rPr>
          <w:rFonts w:ascii="Times New Roman" w:hAnsi="Times New Roman"/>
        </w:rPr>
        <w:t>Le parti, i loro rispettivi dipendenti e collaboratori debitamente autorizzati sono strettamente obbligati a mantenere la riservatezza su tutti i dati trattati.</w:t>
      </w:r>
    </w:p>
    <w:p w:rsidR="005B7B52" w:rsidRDefault="005B7B52">
      <w:pPr>
        <w:spacing w:line="240" w:lineRule="auto"/>
        <w:rPr>
          <w:rFonts w:ascii="Times New Roman" w:eastAsia="Times New Roman" w:hAnsi="Times New Roman" w:cs="Times New Roman"/>
        </w:rPr>
      </w:pPr>
    </w:p>
    <w:p w:rsidR="005B7B52" w:rsidRDefault="0018216B">
      <w:pPr>
        <w:tabs>
          <w:tab w:val="left" w:pos="2871"/>
          <w:tab w:val="center" w:pos="4819"/>
        </w:tabs>
        <w:spacing w:line="240" w:lineRule="auto"/>
        <w:rPr>
          <w:rFonts w:ascii="Times New Roman" w:eastAsia="Times New Roman" w:hAnsi="Times New Roman" w:cs="Times New Roman"/>
          <w:b/>
          <w:bCs/>
        </w:rPr>
      </w:pPr>
      <w:r>
        <w:rPr>
          <w:rFonts w:ascii="Times New Roman" w:hAnsi="Times New Roman"/>
          <w:b/>
          <w:bCs/>
        </w:rPr>
        <w:t>Cessazione del rapporto di Contitolarità</w:t>
      </w:r>
    </w:p>
    <w:p w:rsidR="005B7B52" w:rsidRDefault="0018216B">
      <w:pPr>
        <w:tabs>
          <w:tab w:val="left" w:pos="2871"/>
          <w:tab w:val="center" w:pos="4819"/>
        </w:tabs>
        <w:spacing w:line="240" w:lineRule="auto"/>
        <w:rPr>
          <w:rFonts w:ascii="Times New Roman" w:eastAsia="Times New Roman" w:hAnsi="Times New Roman" w:cs="Times New Roman"/>
        </w:rPr>
      </w:pPr>
      <w:r>
        <w:rPr>
          <w:rFonts w:ascii="Times New Roman" w:hAnsi="Times New Roman"/>
        </w:rPr>
        <w:t>Al termine delle operazioni di trattamento di dati di competenza di ogni singola parte, nonché all’atto della cessazione – per qualsiasi causa – del predetto trattamento da parte di uno o più contitolari, su richiesta e a discrezione dell’altra parte, il contitolare recedente sarà tenuto a:</w:t>
      </w:r>
    </w:p>
    <w:p w:rsidR="005B7B52" w:rsidRDefault="005B7B52">
      <w:pPr>
        <w:tabs>
          <w:tab w:val="left" w:pos="2871"/>
          <w:tab w:val="center" w:pos="4819"/>
        </w:tabs>
        <w:spacing w:line="240" w:lineRule="auto"/>
        <w:rPr>
          <w:rFonts w:ascii="Times New Roman" w:eastAsia="Times New Roman" w:hAnsi="Times New Roman" w:cs="Times New Roman"/>
        </w:rPr>
      </w:pPr>
    </w:p>
    <w:p w:rsidR="005B7B52" w:rsidRDefault="0018216B">
      <w:pPr>
        <w:widowControl/>
        <w:numPr>
          <w:ilvl w:val="0"/>
          <w:numId w:val="7"/>
        </w:numPr>
        <w:suppressAutoHyphens w:val="0"/>
        <w:spacing w:after="160" w:line="240" w:lineRule="auto"/>
        <w:rPr>
          <w:rFonts w:ascii="Times New Roman" w:hAnsi="Times New Roman"/>
        </w:rPr>
      </w:pPr>
      <w:r>
        <w:rPr>
          <w:rFonts w:ascii="Times New Roman" w:hAnsi="Times New Roman"/>
        </w:rPr>
        <w:t>restituire al rimanente contitolare i dati oggetto del trattamento;</w:t>
      </w:r>
    </w:p>
    <w:p w:rsidR="005B7B52" w:rsidRDefault="0018216B">
      <w:pPr>
        <w:widowControl/>
        <w:numPr>
          <w:ilvl w:val="0"/>
          <w:numId w:val="7"/>
        </w:numPr>
        <w:suppressAutoHyphens w:val="0"/>
        <w:spacing w:after="160" w:line="240" w:lineRule="auto"/>
        <w:rPr>
          <w:rFonts w:ascii="Times New Roman" w:hAnsi="Times New Roman"/>
        </w:rPr>
      </w:pPr>
      <w:r>
        <w:rPr>
          <w:rFonts w:ascii="Times New Roman" w:hAnsi="Times New Roman"/>
        </w:rPr>
        <w:t>provvedere all’integrale distruzione dei dati, ad eccezione dei casi in cui la conservazione degli stessi sia richiesta da norme di legge od altri obblighi (es. fiscali, contabili).</w:t>
      </w:r>
    </w:p>
    <w:p w:rsidR="008568C4" w:rsidRDefault="008568C4">
      <w:pPr>
        <w:spacing w:line="240" w:lineRule="auto"/>
        <w:rPr>
          <w:rFonts w:ascii="Times New Roman" w:hAnsi="Times New Roman"/>
        </w:rPr>
      </w:pPr>
    </w:p>
    <w:p w:rsidR="008568C4" w:rsidRDefault="008568C4" w:rsidP="008568C4">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r>
        <w:rPr>
          <w:rFonts w:ascii="Times New Roman" w:hAnsi="Times New Roman"/>
        </w:rPr>
        <w:t xml:space="preserve">Luogo, data </w:t>
      </w:r>
      <w:r w:rsidRPr="0018216B">
        <w:rPr>
          <w:rFonts w:ascii="Times New Roman" w:hAnsi="Times New Roman"/>
          <w:highlight w:val="green"/>
        </w:rPr>
        <w:t>…</w:t>
      </w:r>
    </w:p>
    <w:p w:rsidR="005B7B52" w:rsidRDefault="005B7B52">
      <w:pPr>
        <w:spacing w:line="240" w:lineRule="auto"/>
        <w:rPr>
          <w:rFonts w:ascii="Times New Roman" w:eastAsia="Times New Roman" w:hAnsi="Times New Roman" w:cs="Times New Roman"/>
        </w:rPr>
      </w:pPr>
    </w:p>
    <w:p w:rsidR="008568C4" w:rsidRDefault="008568C4">
      <w:pPr>
        <w:spacing w:line="240" w:lineRule="auto"/>
        <w:rPr>
          <w:rFonts w:ascii="Times New Roman" w:eastAsia="Times New Roman" w:hAnsi="Times New Roman" w:cs="Times New Roman"/>
        </w:rPr>
      </w:pPr>
    </w:p>
    <w:p w:rsidR="005B7B52" w:rsidRDefault="008568C4">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r>
        <w:rPr>
          <w:rFonts w:ascii="Times New Roman" w:eastAsia="Times New Roman" w:hAnsi="Times New Roman" w:cs="Times New Roman"/>
        </w:rPr>
        <w:t>Firme dei contitolari</w:t>
      </w:r>
    </w:p>
    <w:p w:rsidR="008568C4" w:rsidRDefault="008568C4">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p>
    <w:p w:rsidR="005B7B52" w:rsidRDefault="0018216B">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r w:rsidRPr="0018216B">
        <w:rPr>
          <w:rFonts w:ascii="Times New Roman" w:hAnsi="Times New Roman"/>
          <w:highlight w:val="green"/>
        </w:rPr>
        <w:t>…</w:t>
      </w:r>
    </w:p>
    <w:p w:rsidR="005B7B52" w:rsidRDefault="005B7B52">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p>
    <w:p w:rsidR="008568C4" w:rsidRDefault="008568C4">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p>
    <w:p w:rsidR="008568C4" w:rsidRDefault="008568C4" w:rsidP="008568C4">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r w:rsidRPr="0018216B">
        <w:rPr>
          <w:rFonts w:ascii="Times New Roman" w:hAnsi="Times New Roman"/>
          <w:highlight w:val="green"/>
        </w:rPr>
        <w:t>…</w:t>
      </w:r>
    </w:p>
    <w:p w:rsidR="005B7B52" w:rsidRDefault="005B7B52">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p>
    <w:p w:rsidR="005B7B52" w:rsidRDefault="005B7B52">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p>
    <w:p w:rsidR="005B7B52" w:rsidRDefault="005B7B52">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2"/>
        <w:rPr>
          <w:rFonts w:ascii="Times New Roman" w:eastAsia="Times New Roman" w:hAnsi="Times New Roman" w:cs="Times New Roman"/>
        </w:rPr>
      </w:pPr>
    </w:p>
    <w:p w:rsidR="005B7B52" w:rsidRDefault="0018216B">
      <w:pPr>
        <w:shd w:val="clear" w:color="auto" w:fill="FFFFFF"/>
        <w:spacing w:line="240" w:lineRule="auto"/>
      </w:pPr>
      <w:r>
        <w:rPr>
          <w:rFonts w:ascii="Times New Roman" w:hAnsi="Times New Roman"/>
        </w:rPr>
        <w:t>…</w:t>
      </w:r>
    </w:p>
    <w:sectPr w:rsidR="005B7B52" w:rsidSect="005B7B52">
      <w:headerReference w:type="default" r:id="rId7"/>
      <w:footerReference w:type="default" r:id="rId8"/>
      <w:pgSz w:w="12240" w:h="15840"/>
      <w:pgMar w:top="1440" w:right="1440" w:bottom="1440" w:left="1440" w:header="45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52" w:rsidRDefault="005B7B52" w:rsidP="005B7B52">
      <w:pPr>
        <w:spacing w:line="240" w:lineRule="auto"/>
      </w:pPr>
      <w:r>
        <w:separator/>
      </w:r>
    </w:p>
  </w:endnote>
  <w:endnote w:type="continuationSeparator" w:id="1">
    <w:p w:rsidR="005B7B52" w:rsidRDefault="005B7B52" w:rsidP="005B7B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52" w:rsidRDefault="005B7B52">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52" w:rsidRDefault="005B7B52" w:rsidP="005B7B52">
      <w:pPr>
        <w:spacing w:line="240" w:lineRule="auto"/>
      </w:pPr>
      <w:r>
        <w:separator/>
      </w:r>
    </w:p>
  </w:footnote>
  <w:footnote w:type="continuationSeparator" w:id="1">
    <w:p w:rsidR="005B7B52" w:rsidRDefault="005B7B52" w:rsidP="005B7B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52" w:rsidRDefault="005B7B52">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A20"/>
    <w:multiLevelType w:val="hybridMultilevel"/>
    <w:tmpl w:val="6EDC76CA"/>
    <w:numStyleLink w:val="Stileimportato4"/>
  </w:abstractNum>
  <w:abstractNum w:abstractNumId="1">
    <w:nsid w:val="26F83F4D"/>
    <w:multiLevelType w:val="hybridMultilevel"/>
    <w:tmpl w:val="6EDC76CA"/>
    <w:styleLink w:val="Stileimportato4"/>
    <w:lvl w:ilvl="0" w:tplc="A21ECB2E">
      <w:start w:val="1"/>
      <w:numFmt w:val="bullet"/>
      <w:lvlText w:val="·"/>
      <w:lvlJc w:val="left"/>
      <w:pPr>
        <w:tabs>
          <w:tab w:val="num" w:pos="709"/>
          <w:tab w:val="center" w:pos="481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F8C418">
      <w:start w:val="1"/>
      <w:numFmt w:val="bullet"/>
      <w:lvlText w:val="o"/>
      <w:lvlJc w:val="left"/>
      <w:pPr>
        <w:tabs>
          <w:tab w:val="left" w:pos="709"/>
          <w:tab w:val="num" w:pos="1457"/>
          <w:tab w:val="center" w:pos="4819"/>
        </w:tabs>
        <w:ind w:left="146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706134">
      <w:start w:val="1"/>
      <w:numFmt w:val="bullet"/>
      <w:lvlText w:val="▪"/>
      <w:lvlJc w:val="left"/>
      <w:pPr>
        <w:tabs>
          <w:tab w:val="left" w:pos="709"/>
          <w:tab w:val="num" w:pos="2177"/>
          <w:tab w:val="center" w:pos="4819"/>
        </w:tabs>
        <w:ind w:left="218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BA85F6">
      <w:start w:val="1"/>
      <w:numFmt w:val="bullet"/>
      <w:lvlText w:val="·"/>
      <w:lvlJc w:val="left"/>
      <w:pPr>
        <w:tabs>
          <w:tab w:val="left" w:pos="709"/>
          <w:tab w:val="num" w:pos="2897"/>
          <w:tab w:val="center" w:pos="4819"/>
        </w:tabs>
        <w:ind w:left="2908" w:hanging="3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949294">
      <w:start w:val="1"/>
      <w:numFmt w:val="bullet"/>
      <w:lvlText w:val="o"/>
      <w:lvlJc w:val="left"/>
      <w:pPr>
        <w:tabs>
          <w:tab w:val="left" w:pos="709"/>
          <w:tab w:val="num" w:pos="3617"/>
          <w:tab w:val="center" w:pos="4819"/>
        </w:tabs>
        <w:ind w:left="362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AE6812">
      <w:start w:val="1"/>
      <w:numFmt w:val="bullet"/>
      <w:lvlText w:val="▪"/>
      <w:lvlJc w:val="left"/>
      <w:pPr>
        <w:tabs>
          <w:tab w:val="left" w:pos="709"/>
          <w:tab w:val="num" w:pos="4337"/>
          <w:tab w:val="center" w:pos="4819"/>
        </w:tabs>
        <w:ind w:left="434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D2067E">
      <w:start w:val="1"/>
      <w:numFmt w:val="bullet"/>
      <w:lvlText w:val="·"/>
      <w:lvlJc w:val="left"/>
      <w:pPr>
        <w:tabs>
          <w:tab w:val="left" w:pos="709"/>
          <w:tab w:val="num" w:pos="4826"/>
        </w:tabs>
        <w:ind w:left="4837" w:hanging="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E6C822">
      <w:start w:val="1"/>
      <w:numFmt w:val="bullet"/>
      <w:lvlText w:val="o"/>
      <w:lvlJc w:val="left"/>
      <w:pPr>
        <w:tabs>
          <w:tab w:val="left" w:pos="709"/>
          <w:tab w:val="center" w:pos="4819"/>
          <w:tab w:val="num" w:pos="5777"/>
        </w:tabs>
        <w:ind w:left="578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52577E">
      <w:start w:val="1"/>
      <w:numFmt w:val="bullet"/>
      <w:lvlText w:val="▪"/>
      <w:lvlJc w:val="left"/>
      <w:pPr>
        <w:tabs>
          <w:tab w:val="left" w:pos="709"/>
          <w:tab w:val="center" w:pos="4819"/>
          <w:tab w:val="num" w:pos="6497"/>
        </w:tabs>
        <w:ind w:left="650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8B0141D"/>
    <w:multiLevelType w:val="hybridMultilevel"/>
    <w:tmpl w:val="A34E5AEE"/>
    <w:styleLink w:val="Stileimportato2"/>
    <w:lvl w:ilvl="0" w:tplc="D89456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4632E">
      <w:start w:val="1"/>
      <w:numFmt w:val="bullet"/>
      <w:lvlText w:val="o"/>
      <w:lvlJc w:val="left"/>
      <w:pPr>
        <w:ind w:left="145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D6183E">
      <w:start w:val="1"/>
      <w:numFmt w:val="bullet"/>
      <w:lvlText w:val="▪"/>
      <w:lvlJc w:val="left"/>
      <w:pPr>
        <w:ind w:left="21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548E8C">
      <w:start w:val="1"/>
      <w:numFmt w:val="bullet"/>
      <w:lvlText w:val="·"/>
      <w:lvlJc w:val="left"/>
      <w:pPr>
        <w:ind w:left="289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4C09C0">
      <w:start w:val="1"/>
      <w:numFmt w:val="bullet"/>
      <w:lvlText w:val="o"/>
      <w:lvlJc w:val="left"/>
      <w:pPr>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D406D0">
      <w:start w:val="1"/>
      <w:numFmt w:val="bullet"/>
      <w:lvlText w:val="▪"/>
      <w:lvlJc w:val="left"/>
      <w:pPr>
        <w:ind w:left="433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B8246A">
      <w:start w:val="1"/>
      <w:numFmt w:val="bullet"/>
      <w:lvlText w:val="·"/>
      <w:lvlJc w:val="left"/>
      <w:pPr>
        <w:ind w:left="505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E04BCC">
      <w:start w:val="1"/>
      <w:numFmt w:val="bullet"/>
      <w:lvlText w:val="o"/>
      <w:lvlJc w:val="left"/>
      <w:pPr>
        <w:ind w:left="57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1CC798">
      <w:start w:val="1"/>
      <w:numFmt w:val="bullet"/>
      <w:lvlText w:val="▪"/>
      <w:lvlJc w:val="left"/>
      <w:pPr>
        <w:ind w:left="649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D9A0D5D"/>
    <w:multiLevelType w:val="hybridMultilevel"/>
    <w:tmpl w:val="A34E5AEE"/>
    <w:numStyleLink w:val="Stileimportato2"/>
  </w:abstractNum>
  <w:abstractNum w:abstractNumId="4">
    <w:nsid w:val="4C7C049D"/>
    <w:multiLevelType w:val="hybridMultilevel"/>
    <w:tmpl w:val="0A98EE8A"/>
    <w:numStyleLink w:val="Stileimportato3"/>
  </w:abstractNum>
  <w:abstractNum w:abstractNumId="5">
    <w:nsid w:val="651813C8"/>
    <w:multiLevelType w:val="hybridMultilevel"/>
    <w:tmpl w:val="0A98EE8A"/>
    <w:styleLink w:val="Stileimportato3"/>
    <w:lvl w:ilvl="0" w:tplc="CFCA1808">
      <w:start w:val="1"/>
      <w:numFmt w:val="bullet"/>
      <w:lvlText w:val="·"/>
      <w:lvlJc w:val="left"/>
      <w:pPr>
        <w:tabs>
          <w:tab w:val="num" w:pos="709"/>
          <w:tab w:val="center" w:pos="481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58107E">
      <w:start w:val="1"/>
      <w:numFmt w:val="bullet"/>
      <w:lvlText w:val="o"/>
      <w:lvlJc w:val="left"/>
      <w:pPr>
        <w:tabs>
          <w:tab w:val="left" w:pos="709"/>
          <w:tab w:val="num" w:pos="1457"/>
          <w:tab w:val="center" w:pos="4819"/>
        </w:tabs>
        <w:ind w:left="146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2E655E">
      <w:start w:val="1"/>
      <w:numFmt w:val="bullet"/>
      <w:lvlText w:val="▪"/>
      <w:lvlJc w:val="left"/>
      <w:pPr>
        <w:tabs>
          <w:tab w:val="left" w:pos="709"/>
          <w:tab w:val="num" w:pos="2177"/>
          <w:tab w:val="center" w:pos="4819"/>
        </w:tabs>
        <w:ind w:left="218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184BB8">
      <w:start w:val="1"/>
      <w:numFmt w:val="bullet"/>
      <w:lvlText w:val="·"/>
      <w:lvlJc w:val="left"/>
      <w:pPr>
        <w:tabs>
          <w:tab w:val="left" w:pos="709"/>
          <w:tab w:val="num" w:pos="2897"/>
          <w:tab w:val="center" w:pos="4819"/>
        </w:tabs>
        <w:ind w:left="2908" w:hanging="3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CCF14">
      <w:start w:val="1"/>
      <w:numFmt w:val="bullet"/>
      <w:lvlText w:val="o"/>
      <w:lvlJc w:val="left"/>
      <w:pPr>
        <w:tabs>
          <w:tab w:val="left" w:pos="709"/>
          <w:tab w:val="num" w:pos="3617"/>
          <w:tab w:val="center" w:pos="4819"/>
        </w:tabs>
        <w:ind w:left="362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3AE90C">
      <w:start w:val="1"/>
      <w:numFmt w:val="bullet"/>
      <w:lvlText w:val="▪"/>
      <w:lvlJc w:val="left"/>
      <w:pPr>
        <w:tabs>
          <w:tab w:val="left" w:pos="709"/>
          <w:tab w:val="num" w:pos="4337"/>
          <w:tab w:val="center" w:pos="4819"/>
        </w:tabs>
        <w:ind w:left="434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B4C41C">
      <w:start w:val="1"/>
      <w:numFmt w:val="bullet"/>
      <w:lvlText w:val="·"/>
      <w:lvlJc w:val="left"/>
      <w:pPr>
        <w:tabs>
          <w:tab w:val="left" w:pos="709"/>
          <w:tab w:val="num" w:pos="4826"/>
        </w:tabs>
        <w:ind w:left="4837" w:hanging="1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90211C">
      <w:start w:val="1"/>
      <w:numFmt w:val="bullet"/>
      <w:lvlText w:val="o"/>
      <w:lvlJc w:val="left"/>
      <w:pPr>
        <w:tabs>
          <w:tab w:val="left" w:pos="709"/>
          <w:tab w:val="center" w:pos="4819"/>
          <w:tab w:val="num" w:pos="5777"/>
        </w:tabs>
        <w:ind w:left="578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B03E38">
      <w:start w:val="1"/>
      <w:numFmt w:val="bullet"/>
      <w:lvlText w:val="▪"/>
      <w:lvlJc w:val="left"/>
      <w:pPr>
        <w:tabs>
          <w:tab w:val="left" w:pos="709"/>
          <w:tab w:val="center" w:pos="4819"/>
          <w:tab w:val="num" w:pos="6497"/>
        </w:tabs>
        <w:ind w:left="6508" w:hanging="3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5"/>
  </w:num>
  <w:num w:numId="4">
    <w:abstractNumId w:val="4"/>
  </w:num>
  <w:num w:numId="5">
    <w:abstractNumId w:val="4"/>
    <w:lvlOverride w:ilvl="0">
      <w:lvl w:ilvl="0" w:tplc="98A8EE76">
        <w:start w:val="1"/>
        <w:numFmt w:val="bullet"/>
        <w:lvlText w:val="·"/>
        <w:lvlJc w:val="left"/>
        <w:pPr>
          <w:tabs>
            <w:tab w:val="center" w:pos="481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085BCA">
        <w:start w:val="1"/>
        <w:numFmt w:val="bullet"/>
        <w:lvlText w:val="o"/>
        <w:lvlJc w:val="left"/>
        <w:pPr>
          <w:tabs>
            <w:tab w:val="center" w:pos="4819"/>
          </w:tabs>
          <w:ind w:left="145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6665E0">
        <w:start w:val="1"/>
        <w:numFmt w:val="bullet"/>
        <w:lvlText w:val="▪"/>
        <w:lvlJc w:val="left"/>
        <w:pPr>
          <w:tabs>
            <w:tab w:val="center" w:pos="4819"/>
          </w:tabs>
          <w:ind w:left="21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549582">
        <w:start w:val="1"/>
        <w:numFmt w:val="bullet"/>
        <w:lvlText w:val="·"/>
        <w:lvlJc w:val="left"/>
        <w:pPr>
          <w:tabs>
            <w:tab w:val="center" w:pos="4819"/>
          </w:tabs>
          <w:ind w:left="2897" w:hanging="37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108FFA">
        <w:start w:val="1"/>
        <w:numFmt w:val="bullet"/>
        <w:lvlText w:val="o"/>
        <w:lvlJc w:val="left"/>
        <w:pPr>
          <w:tabs>
            <w:tab w:val="center" w:pos="4819"/>
          </w:tabs>
          <w:ind w:left="361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5451B6">
        <w:start w:val="1"/>
        <w:numFmt w:val="bullet"/>
        <w:lvlText w:val="▪"/>
        <w:lvlJc w:val="left"/>
        <w:pPr>
          <w:tabs>
            <w:tab w:val="center" w:pos="4819"/>
          </w:tabs>
          <w:ind w:left="433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AC5AFE">
        <w:start w:val="1"/>
        <w:numFmt w:val="bullet"/>
        <w:lvlText w:val="·"/>
        <w:lvlJc w:val="left"/>
        <w:pPr>
          <w:ind w:left="4826" w:hanging="1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647672">
        <w:start w:val="1"/>
        <w:numFmt w:val="bullet"/>
        <w:lvlText w:val="o"/>
        <w:lvlJc w:val="left"/>
        <w:pPr>
          <w:tabs>
            <w:tab w:val="center" w:pos="4819"/>
          </w:tabs>
          <w:ind w:left="577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CC6458">
        <w:start w:val="1"/>
        <w:numFmt w:val="bullet"/>
        <w:lvlText w:val="▪"/>
        <w:lvlJc w:val="left"/>
        <w:pPr>
          <w:tabs>
            <w:tab w:val="center" w:pos="4819"/>
          </w:tabs>
          <w:ind w:left="6497" w:hanging="3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20"/>
  <w:autoHyphenation/>
  <w:hyphenationZone w:val="283"/>
  <w:characterSpacingControl w:val="doNotCompress"/>
  <w:footnotePr>
    <w:footnote w:id="0"/>
    <w:footnote w:id="1"/>
  </w:footnotePr>
  <w:endnotePr>
    <w:endnote w:id="0"/>
    <w:endnote w:id="1"/>
  </w:endnotePr>
  <w:compat>
    <w:useFELayout/>
  </w:compat>
  <w:rsids>
    <w:rsidRoot w:val="005B7B52"/>
    <w:rsid w:val="0018216B"/>
    <w:rsid w:val="005B7B52"/>
    <w:rsid w:val="005D1C53"/>
    <w:rsid w:val="008568C4"/>
    <w:rsid w:val="00D17D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B7B52"/>
    <w:pPr>
      <w:widowControl w:val="0"/>
      <w:suppressAutoHyphens/>
      <w:spacing w:line="276" w:lineRule="auto"/>
      <w:jc w:val="both"/>
    </w:pPr>
    <w:rPr>
      <w:rFonts w:ascii="Arial" w:hAnsi="Arial" w:cs="Arial Unicode MS"/>
      <w:color w:val="000000"/>
      <w:kern w:val="1"/>
      <w:sz w:val="22"/>
      <w:szCs w:val="22"/>
      <w:u w:color="000000"/>
    </w:rPr>
  </w:style>
  <w:style w:type="paragraph" w:styleId="Titolo4">
    <w:name w:val="heading 4"/>
    <w:rsid w:val="005B7B52"/>
    <w:pPr>
      <w:keepNext/>
      <w:keepLines/>
      <w:widowControl w:val="0"/>
      <w:tabs>
        <w:tab w:val="left" w:pos="864"/>
      </w:tabs>
      <w:suppressAutoHyphens/>
      <w:spacing w:before="160" w:line="276" w:lineRule="auto"/>
      <w:ind w:left="864" w:hanging="864"/>
      <w:jc w:val="both"/>
      <w:outlineLvl w:val="3"/>
    </w:pPr>
    <w:rPr>
      <w:rFonts w:ascii="Trebuchet MS" w:eastAsia="Trebuchet MS" w:hAnsi="Trebuchet MS" w:cs="Trebuchet MS"/>
      <w:color w:val="666666"/>
      <w:kern w:val="1"/>
      <w:sz w:val="22"/>
      <w:szCs w:val="22"/>
      <w:u w:val="single" w:color="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B7B52"/>
    <w:rPr>
      <w:u w:val="single"/>
    </w:rPr>
  </w:style>
  <w:style w:type="table" w:customStyle="1" w:styleId="TableNormal">
    <w:name w:val="Table Normal"/>
    <w:rsid w:val="005B7B52"/>
    <w:tblPr>
      <w:tblInd w:w="0" w:type="dxa"/>
      <w:tblCellMar>
        <w:top w:w="0" w:type="dxa"/>
        <w:left w:w="0" w:type="dxa"/>
        <w:bottom w:w="0" w:type="dxa"/>
        <w:right w:w="0" w:type="dxa"/>
      </w:tblCellMar>
    </w:tblPr>
  </w:style>
  <w:style w:type="paragraph" w:customStyle="1" w:styleId="Intestazioneepidipagina">
    <w:name w:val="Intestazione e piè di pagina"/>
    <w:rsid w:val="005B7B52"/>
    <w:pPr>
      <w:tabs>
        <w:tab w:val="right" w:pos="9020"/>
      </w:tabs>
    </w:pPr>
    <w:rPr>
      <w:rFonts w:ascii="Helvetica Neue" w:hAnsi="Helvetica Neue" w:cs="Arial Unicode MS"/>
      <w:color w:val="000000"/>
      <w:sz w:val="24"/>
      <w:szCs w:val="24"/>
    </w:rPr>
  </w:style>
  <w:style w:type="paragraph" w:styleId="Paragrafoelenco">
    <w:name w:val="List Paragraph"/>
    <w:rsid w:val="005B7B52"/>
    <w:pPr>
      <w:spacing w:after="200" w:line="276" w:lineRule="auto"/>
      <w:ind w:left="720"/>
    </w:pPr>
    <w:rPr>
      <w:rFonts w:ascii="Calibri" w:eastAsia="Calibri" w:hAnsi="Calibri" w:cs="Calibri"/>
      <w:color w:val="000000"/>
      <w:sz w:val="22"/>
      <w:szCs w:val="22"/>
      <w:u w:color="000000"/>
    </w:rPr>
  </w:style>
  <w:style w:type="numbering" w:customStyle="1" w:styleId="Stileimportato2">
    <w:name w:val="Stile importato 2"/>
    <w:rsid w:val="005B7B52"/>
    <w:pPr>
      <w:numPr>
        <w:numId w:val="1"/>
      </w:numPr>
    </w:pPr>
  </w:style>
  <w:style w:type="numbering" w:customStyle="1" w:styleId="Stileimportato3">
    <w:name w:val="Stile importato 3"/>
    <w:rsid w:val="005B7B52"/>
    <w:pPr>
      <w:numPr>
        <w:numId w:val="3"/>
      </w:numPr>
    </w:pPr>
  </w:style>
  <w:style w:type="numbering" w:customStyle="1" w:styleId="Stileimportato4">
    <w:name w:val="Stile importato 4"/>
    <w:rsid w:val="005B7B52"/>
    <w:pPr>
      <w:numPr>
        <w:numId w:val="6"/>
      </w:numPr>
    </w:pPr>
  </w:style>
  <w:style w:type="paragraph" w:customStyle="1" w:styleId="normal">
    <w:name w:val="normal"/>
    <w:rsid w:val="005B7B52"/>
    <w:pPr>
      <w:widowControl w:val="0"/>
      <w:suppressAutoHyphens/>
      <w:spacing w:line="276" w:lineRule="auto"/>
      <w:jc w:val="both"/>
    </w:pPr>
    <w:rPr>
      <w:rFonts w:ascii="Arial" w:eastAsia="Arial" w:hAnsi="Arial" w:cs="Arial"/>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Aste</dc:creator>
  <cp:lastModifiedBy>alessandro.aste</cp:lastModifiedBy>
  <cp:revision>4</cp:revision>
  <dcterms:created xsi:type="dcterms:W3CDTF">2019-02-23T16:47:00Z</dcterms:created>
  <dcterms:modified xsi:type="dcterms:W3CDTF">2019-02-27T08:00:00Z</dcterms:modified>
</cp:coreProperties>
</file>